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B68" w:rsidRPr="00EF4B68" w:rsidRDefault="00EF4B68" w:rsidP="00EF4B68">
      <w:r w:rsidRPr="00EF4B68">
        <w:t>RÉGIMEN DE FOMENTO A LA GENERACIÓN DISTRIBUIDA DE ENERGÍA RENOVABLE INTEGRADA A LA RED ELÉCTRICA PÚBLICA</w:t>
      </w:r>
      <w:r w:rsidRPr="00EF4B68">
        <w:br/>
      </w:r>
      <w:r w:rsidRPr="00EF4B68">
        <w:br/>
        <w:t>Ley 27424</w:t>
      </w:r>
      <w:r w:rsidRPr="00EF4B68">
        <w:br/>
      </w:r>
      <w:r w:rsidRPr="00EF4B68">
        <w:br/>
        <w:t>Disposiciones.</w:t>
      </w:r>
      <w:r w:rsidRPr="00EF4B68">
        <w:br/>
      </w:r>
    </w:p>
    <w:p w:rsidR="00EF4B68" w:rsidRPr="00EF4B68" w:rsidRDefault="00EF4B68" w:rsidP="00EF4B68">
      <w:r w:rsidRPr="00EF4B68">
        <w:t>El Senado y Cámara de Diputados de la Nación Argentina reunidos en Congreso, etc. sancionan con fuerza de</w:t>
      </w:r>
      <w:r w:rsidRPr="00EF4B68">
        <w:br/>
      </w:r>
      <w:r w:rsidRPr="00EF4B68">
        <w:br/>
        <w:t>Ley:</w:t>
      </w:r>
    </w:p>
    <w:p w:rsidR="00EF4B68" w:rsidRPr="00EF4B68" w:rsidRDefault="00EF4B68" w:rsidP="00EF4B68"/>
    <w:p w:rsidR="00EF4B68" w:rsidRPr="00EF4B68" w:rsidRDefault="00EF4B68" w:rsidP="00EF4B68">
      <w:r w:rsidRPr="00EF4B68">
        <w:t>RÉGIMEN DE FOMENTO A LA GENERACIÓN DISTRIBUIDA DE ENERGÍA RENOVABLE INTEGRADA A LA RED ELÉCTRICA PÚBLICA</w:t>
      </w:r>
      <w:r w:rsidRPr="00EF4B68">
        <w:br/>
      </w:r>
      <w:r w:rsidRPr="00EF4B68">
        <w:br/>
        <w:t>CAPÍTULO I</w:t>
      </w:r>
      <w:r w:rsidRPr="00EF4B68">
        <w:br/>
      </w:r>
      <w:r w:rsidRPr="00EF4B68">
        <w:br/>
        <w:t>Disposiciones generales</w:t>
      </w:r>
    </w:p>
    <w:p w:rsidR="00EF4B68" w:rsidRPr="00EF4B68" w:rsidRDefault="00EF4B68" w:rsidP="00EF4B68">
      <w:r w:rsidRPr="00EF4B68">
        <w:br/>
        <w:t>ARTÍCULO 1°.- La presente ley tiene por objeto fijar las políticas y establecer las condiciones jurídicas y contractuales para la generación de energía eléctrica de origen renovable por parte de usuarios de la red de distribución, para su autoconsumo, con eventual inyección de excedentes a la red, y establecer la obligación de los prestadores del servicio público de distribución de facilitar dicha inyección, asegurando el libre acceso a la red de distribución, sin perjuicio de las facultades propias de las provincias.</w:t>
      </w:r>
      <w:r w:rsidRPr="00EF4B68">
        <w:br/>
      </w:r>
      <w:r w:rsidRPr="00EF4B68">
        <w:br/>
        <w:t>ARTÍCULO 2°.- Declárase de interés nacional la generación distribuida de energía eléctrica a partir de fuentes de energías renovables con destino al autoconsumo y a la inyección de eventuales excedentes de energía eléctrica a la red de distribución, todo ello bajo las pautas técnicas que fije la reglamentación en línea con la planificación eléctrica federal, considerando como objetivos la eficiencia energética, la reducción de pérdidas en el sistema interconectado, la potencial reducción de costos para el sistema eléctrico en su conjunto, la protección ambiental prevista en el artículo 41 de la Constitución Nacional y la protección de los derechos de los usuarios en cuanto a la equidad, no discriminación y libre acceso en los servicios e instalaciones de transporte y distribución de electricidad.</w:t>
      </w:r>
      <w:r w:rsidRPr="00EF4B68">
        <w:br/>
      </w:r>
      <w:r w:rsidRPr="00EF4B68">
        <w:br/>
        <w:t>ARTÍCULO 3°.- A los efectos de la presente ley, se denomina:</w:t>
      </w:r>
      <w:r w:rsidRPr="00EF4B68">
        <w:br/>
      </w:r>
      <w:r w:rsidRPr="00EF4B68">
        <w:br/>
        <w:t>a) Balance neto de facturación: al sistema que compensa en la facturación los costos de la energía eléctrica demandada con el valor de la energía eléctrica inyectada a la red de distribución conforme el sistema de facturación que establezca la reglamentación;</w:t>
      </w:r>
      <w:r w:rsidRPr="00EF4B68">
        <w:br/>
      </w:r>
      <w:r w:rsidRPr="00EF4B68">
        <w:br/>
        <w:t>b) Energía demandada: a la energía eléctrica efectivamente tomada desde la red de distribución en el punto de suministro del domicilio del usuario-generador;</w:t>
      </w:r>
      <w:r w:rsidRPr="00EF4B68">
        <w:br/>
      </w:r>
      <w:r w:rsidRPr="00EF4B68">
        <w:br/>
        <w:t>c) Energía inyectada: a la energía eléctrica efectivamente entregada a la red de distribución en el punto de suministro del domicilio del usuario-generador, de acuerdo al principio de libre acceso establecido en la ley 24.065, artículo 56, inciso e);</w:t>
      </w:r>
      <w:r w:rsidRPr="00EF4B68">
        <w:br/>
      </w:r>
      <w:r w:rsidRPr="00EF4B68">
        <w:br/>
        <w:t>d) Ente regulador jurisdiccional: al ente regulador, o autoridad de control, encargado de controlar la actividad de los prestadores del servicio público de distribución de energía eléctrica en cada jurisdicción;</w:t>
      </w:r>
      <w:r w:rsidRPr="00EF4B68">
        <w:br/>
      </w:r>
      <w:r w:rsidRPr="00EF4B68">
        <w:br/>
      </w:r>
      <w:r w:rsidRPr="00EF4B68">
        <w:lastRenderedPageBreak/>
        <w:t>e) Equipos de generación distribuida: a los equipamientos y sistemas destinados a la transformación de la energía primaria de fuentes renovables en energía eléctrica para autoconsumo, y que se conectan con la red de distribución a fin de inyectar a dicha red el potencial excedente de energía generada;</w:t>
      </w:r>
      <w:r w:rsidRPr="00EF4B68">
        <w:br/>
      </w:r>
      <w:r w:rsidRPr="00EF4B68">
        <w:br/>
        <w:t>f) Equipo de medición: al sistema de medición de energía eléctrica homologado por la autoridad competente que debe ser instalado a los fines de medir la energía demandada, generada y/o inyectada a la red de distribución por el usuario-generador, siendo dichas mediciones almacenadas independientemente para su posterior lectura;</w:t>
      </w:r>
      <w:r w:rsidRPr="00EF4B68">
        <w:br/>
      </w:r>
      <w:r w:rsidRPr="00EF4B68">
        <w:br/>
        <w:t>g) Fuentes de energías renovables: a las fuentes de energía establecidas en el artículo 2° de la ley 27.191, Régimen de Fomento Nacional para el uso de Fuentes Renovables de Energía destinada a la Producción de Energía Eléctrica;</w:t>
      </w:r>
      <w:r w:rsidRPr="00EF4B68">
        <w:br/>
      </w:r>
      <w:r w:rsidRPr="00EF4B68">
        <w:br/>
        <w:t>h) Generación distribuida: a la generación de energía eléctrica a partir de fuentes renovables, por usuarios del servicio público de distribución que estén conectados a la red del prestador del servicio y reúnan los requisitos técnicos que establezca la regulación para inyectar a dicha red pública los excedentes del autoconsumo;</w:t>
      </w:r>
      <w:r w:rsidRPr="00EF4B68">
        <w:br/>
      </w:r>
      <w:r w:rsidRPr="00EF4B68">
        <w:br/>
        <w:t>i) Prestador del servicio público de distribución de energía eléctrica o distribuidor: a la figura creada por el artículo 9° de la ley 24.065, Régimen de Energía Eléctrica, responsable de abastecer la demanda eléctrica de usuarios finales en su zona de competencia;</w:t>
      </w:r>
      <w:r w:rsidRPr="00EF4B68">
        <w:br/>
      </w:r>
      <w:r w:rsidRPr="00EF4B68">
        <w:br/>
        <w:t xml:space="preserve">j) Usuario-generador: al usuario del servicio público de distribución que disponga de equipamiento de generación de energía de fuentes renovables en los términos del inciso h) precedente y que reúna los requisitos técnicos para inyectar a dicha red los excedentes del autoconsumo en los términos que establece la presente ley y su reglamentación. No están comprendidos los grandes usuarios o </w:t>
      </w:r>
      <w:proofErr w:type="spellStart"/>
      <w:r w:rsidRPr="00EF4B68">
        <w:t>autogeneradores</w:t>
      </w:r>
      <w:proofErr w:type="spellEnd"/>
      <w:r w:rsidRPr="00EF4B68">
        <w:t xml:space="preserve"> del mercado eléctrico mayorista.</w:t>
      </w:r>
      <w:r w:rsidRPr="00EF4B68">
        <w:br/>
      </w:r>
      <w:r w:rsidRPr="00EF4B68">
        <w:br/>
        <w:t>ARTÍCULO 4°.- Todo usuario de la red de distribución tiene derecho a instalar equipamiento para la generación distribuida de energía eléctrica a partir de fuentes renovables hasta una potencia equivalente a la que éste tiene contratada con el distribuidor para su demanda, siempre que ésta se encuentre en el marco del artículo 6° de la presente ley y cuente con la autorización requerida.</w:t>
      </w:r>
      <w:r w:rsidRPr="00EF4B68">
        <w:br/>
      </w:r>
      <w:r w:rsidRPr="00EF4B68">
        <w:br/>
        <w:t>El usuario de la red de distribución que requiera instalar una potencia mayor a la que tenga contratada para su demanda deberá solicitar una autorización especial ante el distribuidor, conforme lo defina la reglamentación de la presente.</w:t>
      </w:r>
      <w:r w:rsidRPr="00EF4B68">
        <w:br/>
      </w:r>
      <w:r w:rsidRPr="00EF4B68">
        <w:br/>
        <w:t>ARTÍCULO 5°.- Todo usuario-generador tiene derecho a generar para autoconsumo energía eléctrica a partir de fuentes renovables y a inyectar sus excedentes de energía eléctrica a la red de distribución reuniendo los requisitos técnicos que establezca la reglamentación.</w:t>
      </w:r>
      <w:r w:rsidRPr="00EF4B68">
        <w:br/>
      </w:r>
      <w:r w:rsidRPr="00EF4B68">
        <w:br/>
        <w:t>ARTÍCULO 6°.- A los fines de la presente ley, la reglamentación establecerá diferentes categorías de usuario-generador en función de la magnitud de potencia de demanda contratada y capacidad de generación a instalar.</w:t>
      </w:r>
      <w:r w:rsidRPr="00EF4B68">
        <w:br/>
      </w:r>
      <w:r w:rsidRPr="00EF4B68">
        <w:br/>
        <w:t>ARTÍCULO 7°.- A partir de la sanción de la presente, todo proyecto de construcción de edificios públicos nacionales deberá contemplar la utilización de algún sistema de generación distribuida proveniente de fuentes renovables, conforme al aprovechamiento que pueda realizarse en la zona donde se ubique, previo estudio de su impacto ambiental en caso de corresponder, conforme a la normativa aplicable en la respectiva jurisdicción.</w:t>
      </w:r>
      <w:r w:rsidRPr="00EF4B68">
        <w:br/>
      </w:r>
      <w:r w:rsidRPr="00EF4B68">
        <w:br/>
        <w:t xml:space="preserve">La autoridad de aplicación efectuará un estudio gradual de los edificios públicos nacionales existentes y </w:t>
      </w:r>
      <w:r w:rsidRPr="00EF4B68">
        <w:lastRenderedPageBreak/>
        <w:t>propondrá al organismo del que dependan la incorporación de un sistema de eficiencia energética, incluyendo capacidad de generación distribuida a partir de fuentes renovables de acuerdo a los mecanismos aquí previstos.</w:t>
      </w:r>
      <w:r w:rsidRPr="00EF4B68">
        <w:br/>
      </w:r>
    </w:p>
    <w:p w:rsidR="00EF4B68" w:rsidRPr="00EF4B68" w:rsidRDefault="00EF4B68" w:rsidP="00EF4B68">
      <w:r w:rsidRPr="00EF4B68">
        <w:t>CAPÍTULO II</w:t>
      </w:r>
      <w:r w:rsidRPr="00EF4B68">
        <w:br/>
      </w:r>
      <w:r w:rsidRPr="00EF4B68">
        <w:br/>
        <w:t>Autorización de conexión</w:t>
      </w:r>
    </w:p>
    <w:p w:rsidR="00EF4B68" w:rsidRPr="00EF4B68" w:rsidRDefault="00EF4B68" w:rsidP="00EF4B68">
      <w:r w:rsidRPr="00EF4B68">
        <w:br/>
        <w:t>ARTÍCULO 8°.- La conexión del equipamiento para la generación distribuida de origen renovable por parte del usuario-generador, para su autoconsumo con inyección de sus excedentes a la red, deberá contar con previa autorización. La misma será solicitada por el usuario-generador al distribuidor. El distribuidor deberá expedirse en el mismo plazo que la reglamentación local establezca para la solicitud de medidores y no podrá rechazar la solicitud si se tratare de instalación de equipos certificados. Cumplido el plazo o rechazada la solicitud, el usuario-generador podrá dirigir el reclamo al ente regulador jurisdiccional.</w:t>
      </w:r>
      <w:r w:rsidRPr="00EF4B68">
        <w:br/>
      </w:r>
      <w:r w:rsidRPr="00EF4B68">
        <w:br/>
        <w:t>ARTÍCULO 9°.- Para el otorgamiento de las autorizaciones previstas en este capítulo el ente regulador jurisdiccional dispondrá la realización por el distribuidor de una evaluación técnica y de seguridad de la propuesta de instalación de equipos de generación distribuida del interesado, la que deberá ajustarse a la reglamentación de la presente. La misma deberá formalizarse dentro de los plazos previstos en cada jurisdicción para la instalación de medidores.</w:t>
      </w:r>
      <w:r w:rsidRPr="00EF4B68">
        <w:br/>
      </w:r>
      <w:r w:rsidRPr="00EF4B68">
        <w:br/>
        <w:t>La reglamentación contemplará las medidas que deberán verificarse a efectos de garantizar la seguridad de las personas y de los bienes, así como la seguridad y continuidad del servicio suministrado por el distribuidor de energía eléctrica. En todos los casos deberá garantizarse al usuario-generador su participación en el proceso de autorización, por sí o a través del técnico que autorice.</w:t>
      </w:r>
      <w:r w:rsidRPr="00EF4B68">
        <w:br/>
      </w:r>
      <w:r w:rsidRPr="00EF4B68">
        <w:br/>
        <w:t>ARTÍCULO 10.- Una vez aprobada la evaluación técnica, el usuario-generador y el distribuidor suscribirán un contrato de generación eléctrica bajo la modalidad distribuida de acuerdo a los lineamientos generales que determine la reglamentación de la presente. Se contemplará en el instrumento cualquier bonificación adicional que recibirá por el ahorro de consumo, por la energía que utilizará en los períodos que no inyecte a la red, como así también la forma en que se determinará el valor de su aporte a la red.</w:t>
      </w:r>
      <w:r w:rsidRPr="00EF4B68">
        <w:br/>
      </w:r>
      <w:r w:rsidRPr="00EF4B68">
        <w:br/>
        <w:t>ARTÍCULO 11.- Una vez obtenida la autorización por parte del usuario-generador, el distribuidor realizará la conexión e instalación del equipo de medición y habilitará la instalación para inyectar energía a la red de distribución. Los costos del equipo de medición, su instalación y las obras necesarias para permitir la conexión a la red deberán ser solventados por el usuario-generador siempre que aquellos no constituyan una obligación de los distribuidores en el marco de la ley 24.065 y/o de los respectivos contratos de concesión. Los mismos no podrán significar costos adicionales para los demás usuarios conectados a la misma red de distribución.</w:t>
      </w:r>
      <w:r w:rsidRPr="00EF4B68">
        <w:br/>
      </w:r>
      <w:r w:rsidRPr="00EF4B68">
        <w:br/>
        <w:t>El costo del servicio de instalación y conexión, en ningún caso podrá exceder el arancel fijado para cambio o instalación de medidor tal como la solicitud de un nuevo suministro o de un cambio de tarifa.</w:t>
      </w:r>
      <w:r w:rsidRPr="00EF4B68">
        <w:br/>
      </w:r>
      <w:r w:rsidRPr="00EF4B68">
        <w:br/>
        <w:t>En caso de controversias, el usuario-generador podrá dirigir el reclamo al ente regulador jurisdiccional.</w:t>
      </w:r>
      <w:r w:rsidRPr="00EF4B68">
        <w:br/>
      </w:r>
    </w:p>
    <w:p w:rsidR="00EF4B68" w:rsidRPr="00EF4B68" w:rsidRDefault="00EF4B68" w:rsidP="00EF4B68">
      <w:r w:rsidRPr="00EF4B68">
        <w:t>CAPÍTULO III</w:t>
      </w:r>
      <w:r w:rsidRPr="00EF4B68">
        <w:br/>
      </w:r>
      <w:r w:rsidRPr="00EF4B68">
        <w:br/>
        <w:t>Esquema de facturación</w:t>
      </w:r>
    </w:p>
    <w:p w:rsidR="00EF4B68" w:rsidRPr="00EF4B68" w:rsidRDefault="00EF4B68" w:rsidP="00EF4B68">
      <w:r w:rsidRPr="00EF4B68">
        <w:lastRenderedPageBreak/>
        <w:br/>
        <w:t>ARTÍCULO 12.- Cada distribuidor efectuará el cálculo de compensación y administrará la remuneración por la energía inyectada a la red producto de la generación distribuida de energía eléctrica a partir de fuentes renovables bajo el modelo de balance neto de facturación en base a los siguientes lineamientos:</w:t>
      </w:r>
      <w:r w:rsidRPr="00EF4B68">
        <w:br/>
      </w:r>
      <w:r w:rsidRPr="00EF4B68">
        <w:br/>
        <w:t>a) El usuario-generador recibirá una tarifa de inyección por cada kilowatt-hora que entregue a la red de distribución. El precio de la tarifa de inyección será establecido por la reglamentación de manera acorde al precio estacional correspondiente a cada tipo de usuario que deben pagar los distribuidores en el Mercado Eléctrico Mayorista (MEM) conforme el artículo 36 de la ley 24.065, y sus reglamentaciones;</w:t>
      </w:r>
      <w:r w:rsidRPr="00EF4B68">
        <w:br/>
      </w:r>
      <w:r w:rsidRPr="00EF4B68">
        <w:br/>
        <w:t>b) El valor de la tarifa de inyección de cada usuario-generador regirá a partir del momento de la instalación y conexión por parte del distribuidor del equipo de medición correspondiente;</w:t>
      </w:r>
      <w:r w:rsidRPr="00EF4B68">
        <w:br/>
      </w:r>
      <w:r w:rsidRPr="00EF4B68">
        <w:br/>
        <w:t>c) El distribuidor reflejará en la facturación que usualmente emite por el servicio de energía eléctrica prestado al usuario-generador, tanto el volumen de la energía demandada como el de la energía inyectada por el usuario-generador a la red, y los precios correspondientes a cada uno por kilowatt-hora. El valor a pagar por el usuario-generador será el resultante del cálculo neto entre el valor monetario de la energía demandada y el de la energía inyectada antes de impuestos. No podrán efectuarse cargos impositivos adicionales sobre la energía aportada al sistema por parte del usuario-generador.</w:t>
      </w:r>
      <w:r w:rsidRPr="00EF4B68">
        <w:br/>
      </w:r>
      <w:r w:rsidRPr="00EF4B68">
        <w:br/>
      </w:r>
      <w:proofErr w:type="spellStart"/>
      <w:r w:rsidRPr="00EF4B68">
        <w:t>Facúltase</w:t>
      </w:r>
      <w:proofErr w:type="spellEnd"/>
      <w:r w:rsidRPr="00EF4B68">
        <w:t xml:space="preserve"> a la Administración Federal de Ingresos Públicos (AFIP) a dictar las normas complementarias necesarias para instrumentar y regular los aspectos impositivos correspondientes a lo establecido en el presente inciso;</w:t>
      </w:r>
      <w:r w:rsidRPr="00EF4B68">
        <w:br/>
      </w:r>
      <w:r w:rsidRPr="00EF4B68">
        <w:br/>
        <w:t>d) Si existiese un excedente monetario por los kilowatt-hora inyectados a favor del usuario-generador, el mismo configurará un crédito para la facturación de los periodos siguientes. De persistir dicho crédito, el usuario-generador podrá solicitar al distribuidor la retribución del saldo favorable que pudiera haberse acumulado en un plazo a determinar por la reglamentación, que no será superior a seis (6) meses. El procedimiento para la obtención del mismo será definido en la reglamentación de la presente;</w:t>
      </w:r>
      <w:r w:rsidRPr="00EF4B68">
        <w:br/>
      </w:r>
      <w:r w:rsidRPr="00EF4B68">
        <w:br/>
        <w:t>e) En el caso de un usuario-generador identificado como consorcio de copropietarios de propiedad horizontal o conjunto inmobiliario, el crédito será de titularidad de dicho consorcio de copropietarios o conjunto inmobiliario;</w:t>
      </w:r>
      <w:r w:rsidRPr="00EF4B68">
        <w:br/>
      </w:r>
      <w:r w:rsidRPr="00EF4B68">
        <w:br/>
        <w:t>f) Mediante la reglamentación se establecerán mecanismos y condiciones para cesión o transferencia de los créditos provenientes de la inyección de energía entre usuarios de un mismo distribuidor.</w:t>
      </w:r>
      <w:r w:rsidRPr="00EF4B68">
        <w:br/>
      </w:r>
      <w:r w:rsidRPr="00EF4B68">
        <w:br/>
        <w:t>El distribuidor no podrá añadir ningún tipo de cargo adicional por mantenimiento de red, peaje de acceso, respaldo eléctrico o cualquier otro concepto asociado a la instalación de equipos de generación distribuida.</w:t>
      </w:r>
      <w:r w:rsidRPr="00EF4B68">
        <w:br/>
      </w:r>
      <w:r w:rsidRPr="00EF4B68">
        <w:br/>
        <w:t>ARTÍCULO 12 BIS: Las ganancias derivadas de la actividad de inyección de energía eléctrica distribuida, generada a partir de fuentes renovables de energía, por parte de los Usuarios-Generadores que cuenten con 300kw de potencia contratada como máximo y que cumplan con los requisitos y demás autorizaciones determinados en esta norma y en su reglamentación, quedarán exentas en el impuesto a las ganancias. La venta por la energía inyectada también estará exenta en el impuesto al valor agregado en iguales condiciones y con los mismos requisitos establecidos precedentemente.</w:t>
      </w:r>
      <w:r w:rsidRPr="00EF4B68">
        <w:br/>
      </w:r>
      <w:r w:rsidRPr="00EF4B68">
        <w:br/>
        <w:t>(Artículo incorporado por art. 314 de la </w:t>
      </w:r>
      <w:hyperlink r:id="rId5" w:history="1">
        <w:r w:rsidRPr="00EF4B68">
          <w:rPr>
            <w:rStyle w:val="Hipervnculo"/>
          </w:rPr>
          <w:t>Ley N° 27430</w:t>
        </w:r>
      </w:hyperlink>
      <w:r w:rsidRPr="00EF4B68">
        <w:t> B.O. 29/12/2017. Vigencia: a partir del día siguiente al de su publicación en el Boletín Oficial)</w:t>
      </w:r>
      <w:r w:rsidRPr="00EF4B68">
        <w:br/>
      </w:r>
    </w:p>
    <w:p w:rsidR="00EF4B68" w:rsidRPr="00EF4B68" w:rsidRDefault="00EF4B68" w:rsidP="00EF4B68">
      <w:r w:rsidRPr="00EF4B68">
        <w:lastRenderedPageBreak/>
        <w:t>CAPÍTULO IV</w:t>
      </w:r>
      <w:r w:rsidRPr="00EF4B68">
        <w:br/>
      </w:r>
      <w:r w:rsidRPr="00EF4B68">
        <w:br/>
        <w:t>Autoridad de aplicación</w:t>
      </w:r>
    </w:p>
    <w:p w:rsidR="00EF4B68" w:rsidRPr="00EF4B68" w:rsidRDefault="00EF4B68" w:rsidP="00EF4B68">
      <w:r w:rsidRPr="00EF4B68">
        <w:br/>
        <w:t>ARTÍCULO 13.- La autoridad de aplicación será designada por el Poder Ejecutivo nacional y tendrá las siguientes funciones:</w:t>
      </w:r>
      <w:r w:rsidRPr="00EF4B68">
        <w:br/>
      </w:r>
      <w:r w:rsidRPr="00EF4B68">
        <w:br/>
        <w:t>a) Establecer las normas técnicas y administrativas necesarias para la aprobación de proyectos de generación distribuida de energía eléctrica a partir de fuentes renovables por parte del usuario-generador. Para elaborar las normas técnicas deberá contemplar, como mínimo: la seguridad de las personas y los bienes, la continuidad y calidad del servicio, la calidad del producto y la potencia permitida para cada usuario-generador definiendo su método de cálculo. En todos los casos tanto las normas para la regulación y certificación de equipos como las locales que fijen los requerimientos a los instaladores serán basadas en las disposiciones IRAM o similares;</w:t>
      </w:r>
      <w:r w:rsidRPr="00EF4B68">
        <w:br/>
      </w:r>
      <w:r w:rsidRPr="00EF4B68">
        <w:br/>
        <w:t>b) Establecer las normas y lineamientos para la autorización de conexión a la red que será solicitada por el usuario-generador al distribuidor;</w:t>
      </w:r>
      <w:r w:rsidRPr="00EF4B68">
        <w:br/>
      </w:r>
      <w:r w:rsidRPr="00EF4B68">
        <w:br/>
        <w:t>c) Establecer los requisitos y plazos relativos a la información que deberá suministrar el distribuidor y/o ente regulador jurisdiccional;</w:t>
      </w:r>
      <w:r w:rsidRPr="00EF4B68">
        <w:br/>
      </w:r>
      <w:r w:rsidRPr="00EF4B68">
        <w:br/>
        <w:t>d) Desempeñarse como fiduciante de acuerdo a lo dispuesto por el capítulo V de la presente;</w:t>
      </w:r>
      <w:r w:rsidRPr="00EF4B68">
        <w:br/>
      </w:r>
      <w:r w:rsidRPr="00EF4B68">
        <w:br/>
        <w:t>e) Elaborar conjuntamente con otros ministerios políticas activas para promover el fomento de la industria nacional de equipamiento para la generación distribuida a partir de energías renovables, como para la adquisición e instalación de equipamiento por parte de los usuarios-generadores;</w:t>
      </w:r>
      <w:r w:rsidRPr="00EF4B68">
        <w:br/>
      </w:r>
      <w:r w:rsidRPr="00EF4B68">
        <w:br/>
        <w:t>f) Promover la radicación de industrias para la fabricación de equipamiento para la generación distribuida a partir de fuentes renovables en agrupamientos industriales existentes o a crearse;</w:t>
      </w:r>
      <w:r w:rsidRPr="00EF4B68">
        <w:br/>
      </w:r>
      <w:r w:rsidRPr="00EF4B68">
        <w:br/>
        <w:t>g) Establecer en conjunto con otros ministerios la política de capacitación y formación que requiera la industria;</w:t>
      </w:r>
      <w:r w:rsidRPr="00EF4B68">
        <w:br/>
      </w:r>
      <w:r w:rsidRPr="00EF4B68">
        <w:br/>
        <w:t>h) Establecer el valor de la tarifa de inyección;</w:t>
      </w:r>
      <w:r w:rsidRPr="00EF4B68">
        <w:br/>
      </w:r>
      <w:r w:rsidRPr="00EF4B68">
        <w:br/>
        <w:t>i) Aplicar mediante la reglamentación los beneficios promocionales apropiados para el desarrollo de la generación distribuida conforme lo establecido en el Capítulo VI;</w:t>
      </w:r>
      <w:r w:rsidRPr="00EF4B68">
        <w:br/>
      </w:r>
      <w:r w:rsidRPr="00EF4B68">
        <w:br/>
        <w:t>j) Establecer los lineamientos generales de los contratos de generación eléctrica bajo la modalidad distribuida a los que deberán suscribir el distribuidor y el usuario-generador;</w:t>
      </w:r>
      <w:r w:rsidRPr="00EF4B68">
        <w:br/>
      </w:r>
      <w:r w:rsidRPr="00EF4B68">
        <w:br/>
        <w:t>k) Establecer a través de normas IRAM o similares, los criterios atinentes a la certificación de equipos y sistemas de generación distribuida teniendo en cuenta su calidad, instalación y rendimiento;</w:t>
      </w:r>
      <w:r w:rsidRPr="00EF4B68">
        <w:br/>
      </w:r>
      <w:r w:rsidRPr="00EF4B68">
        <w:br/>
        <w:t>l) Evaluar el diseño y ejecución de un programa para la implementación de generación distribuida en los edificios públicos nacionales, estableciendo el aporte mínimo obligatorio de los sistemas a instalar;</w:t>
      </w:r>
      <w:r w:rsidRPr="00EF4B68">
        <w:br/>
      </w:r>
      <w:r w:rsidRPr="00EF4B68">
        <w:br/>
        <w:t>m) Establecer mecanismos y condiciones para cesión o transferencia de los créditos provenientes de la inyección de energía entre usuarios de una misma red de distribución;</w:t>
      </w:r>
      <w:r w:rsidRPr="00EF4B68">
        <w:br/>
      </w:r>
      <w:r w:rsidRPr="00EF4B68">
        <w:br/>
        <w:t xml:space="preserve">n) Establecer los mecanismos para adecuar a la presente ley la situación de aquellos equipamientos de </w:t>
      </w:r>
      <w:r w:rsidRPr="00EF4B68">
        <w:lastRenderedPageBreak/>
        <w:t>generación de energía eléctrica a partir de fuentes renovables que, al momento de entrada en vigencia de ésta, se encontraran ya integrados a la red de distribución.</w:t>
      </w:r>
      <w:r w:rsidRPr="00EF4B68">
        <w:br/>
      </w:r>
      <w:r w:rsidRPr="00EF4B68">
        <w:br/>
        <w:t>ARTÍCULO 14.- Corresponderá a los entes reguladores jurisdiccionales fiscalizar en sus áreas de competencia el cumplimiento de las disposiciones establecidas en la presente ley.</w:t>
      </w:r>
      <w:r w:rsidRPr="00EF4B68">
        <w:br/>
      </w:r>
      <w:r w:rsidRPr="00EF4B68">
        <w:br/>
        <w:t>ARTÍCULO 15.- La presente ley, sus reglamentaciones, las normas técnicas como así también los requerimientos que establezca con carácter general la autoridad de aplicación regirán en todo el territorio nacional. Las disposiciones locales jurisdiccionales que se dicten deberán procurar no alterar la normal prestación en el Sistema Interconectado Nacional y en el Mercado Eléctrico Mayorista.</w:t>
      </w:r>
      <w:r w:rsidRPr="00EF4B68">
        <w:br/>
      </w:r>
    </w:p>
    <w:p w:rsidR="00EF4B68" w:rsidRPr="00EF4B68" w:rsidRDefault="00EF4B68" w:rsidP="00EF4B68">
      <w:r w:rsidRPr="00EF4B68">
        <w:t>CAPÍTULO V</w:t>
      </w:r>
      <w:r w:rsidRPr="00EF4B68">
        <w:br/>
      </w:r>
      <w:r w:rsidRPr="00EF4B68">
        <w:br/>
        <w:t>Fondo Fiduciario para el Desarrollo de la Generación Distribuida</w:t>
      </w:r>
    </w:p>
    <w:p w:rsidR="00EF4B68" w:rsidRPr="00EF4B68" w:rsidRDefault="00EF4B68" w:rsidP="00EF4B68">
      <w:r w:rsidRPr="00EF4B68">
        <w:br/>
        <w:t>ARTÍCULO 16.- Créase el fondo fiduciario público denominado Fondo para la Generación Distribuida de Energías Renovables en adelante, FODIS o el Fondo el que se conformará como un fideicomiso de administración y financiero, que regirá en todo el territorio de la República Argentina con los alcances y limitaciones establecidos en la presente ley y las normas reglamentarias que en su consecuencia dicte el Poder Ejecutivo.</w:t>
      </w:r>
      <w:r w:rsidRPr="00EF4B68">
        <w:br/>
      </w:r>
      <w:r w:rsidRPr="00EF4B68">
        <w:br/>
        <w:t xml:space="preserve">ARTÍCULO 17.- El Fondo tendrá por objeto la aplicación de los bienes </w:t>
      </w:r>
      <w:proofErr w:type="spellStart"/>
      <w:r w:rsidRPr="00EF4B68">
        <w:t>fideicomitidos</w:t>
      </w:r>
      <w:proofErr w:type="spellEnd"/>
      <w:r w:rsidRPr="00EF4B68">
        <w:t xml:space="preserve"> al otorgamiento de préstamos, incentivos, garantías, la realización de aportes de capital y adquisición de otros instrumentos financieros, todos ellos destinados a la implementación de sistemas de generación distribuida a partir de fuentes renovables.</w:t>
      </w:r>
      <w:r w:rsidRPr="00EF4B68">
        <w:br/>
      </w:r>
      <w:r w:rsidRPr="00EF4B68">
        <w:br/>
        <w:t xml:space="preserve">ARTÍCULO 18.- </w:t>
      </w:r>
      <w:proofErr w:type="spellStart"/>
      <w:r w:rsidRPr="00EF4B68">
        <w:t>Desígnase</w:t>
      </w:r>
      <w:proofErr w:type="spellEnd"/>
      <w:r w:rsidRPr="00EF4B68">
        <w:t xml:space="preserve"> al Estado nacional, a través de la autoridad de aplicación, como fiduciante y fideicomisario del Fondo y el banco público seleccionado por el fiduciante como fiduciario.</w:t>
      </w:r>
      <w:r w:rsidRPr="00EF4B68">
        <w:br/>
      </w:r>
      <w:r w:rsidRPr="00EF4B68">
        <w:br/>
        <w:t>Serán beneficiarias las personas humanas domiciliadas en la República Argentina y las personas jurídicas registradas en el país cuyos proyectos de generación distribuida hayan obtenido aprobación por parte de las autoridades del Fondo y que cumplan con lo establecido en la reglamentación de la presente.</w:t>
      </w:r>
      <w:r w:rsidRPr="00EF4B68">
        <w:br/>
      </w:r>
      <w:r w:rsidRPr="00EF4B68">
        <w:br/>
        <w:t xml:space="preserve">ARTÍCULO 19.- El FODIS contará con un patrimonio que estará constituido por los siguientes bienes </w:t>
      </w:r>
      <w:proofErr w:type="spellStart"/>
      <w:r w:rsidRPr="00EF4B68">
        <w:t>fideicomitidos</w:t>
      </w:r>
      <w:proofErr w:type="spellEnd"/>
      <w:r w:rsidRPr="00EF4B68">
        <w:t>:</w:t>
      </w:r>
      <w:r w:rsidRPr="00EF4B68">
        <w:br/>
      </w:r>
      <w:r w:rsidRPr="00EF4B68">
        <w:br/>
        <w:t>a) Los recursos provenientes del presupuesto nacional aprobado anualmente por el Congreso de la Nación, los que no podrán ser inferiores al cincuenta por ciento (50%) del ahorro efectivo en combustibles fósiles debido a la incorporación de generación distribuida a partir de fuentes renovables obtenido en el año previo, de acuerdo a la estimación que efectúe la autoridad de aplicación;</w:t>
      </w:r>
      <w:r w:rsidRPr="00EF4B68">
        <w:br/>
      </w:r>
      <w:r w:rsidRPr="00EF4B68">
        <w:br/>
        <w:t>b) El recupero del capital e intereses de las financiaciones otorgadas;</w:t>
      </w:r>
      <w:r w:rsidRPr="00EF4B68">
        <w:br/>
      </w:r>
      <w:r w:rsidRPr="00EF4B68">
        <w:br/>
        <w:t xml:space="preserve">c) El producido de sus operaciones, la renta, frutos e inversión de los bienes </w:t>
      </w:r>
      <w:proofErr w:type="spellStart"/>
      <w:r w:rsidRPr="00EF4B68">
        <w:t>fideicomitidos</w:t>
      </w:r>
      <w:proofErr w:type="spellEnd"/>
      <w:r w:rsidRPr="00EF4B68">
        <w:t>, las contribuciones, subsidios, legados o donaciones que sean aceptadas por el FODIS;</w:t>
      </w:r>
      <w:r w:rsidRPr="00EF4B68">
        <w:br/>
      </w:r>
      <w:r w:rsidRPr="00EF4B68">
        <w:br/>
        <w:t>d) Los recursos provenientes de aportes de organismos multilaterales de crédito;</w:t>
      </w:r>
      <w:r w:rsidRPr="00EF4B68">
        <w:br/>
      </w:r>
      <w:r w:rsidRPr="00EF4B68">
        <w:br/>
        <w:t>e) Los ingresos obtenidos por emisión de valores fiduciarios que emita el fiduciario por cuenta del Fondo. A tales efectos, el Fondo podrá solicitar el aval del Tesoro nacional en los términos que establezca la reglamentación.</w:t>
      </w:r>
      <w:r w:rsidRPr="00EF4B68">
        <w:br/>
      </w:r>
      <w:r w:rsidRPr="00EF4B68">
        <w:lastRenderedPageBreak/>
        <w:br/>
        <w:t>Para el primer año de entrada en vigencia de la presente ley se destinará al FODIS un presupuesto de pesos quinientos millones ($ 500.000.000). El Jefe de Gabinete de Ministros dispondrá las adecuaciones presupuestarias pertinentes a los efectos de poner en ejecución lo aquí dispuesto, a través de la reasignación de partidas del presupuesto nacional correspondientes al año de entrada en vigencia de la presente.</w:t>
      </w:r>
      <w:r w:rsidRPr="00EF4B68">
        <w:br/>
      </w:r>
      <w:r w:rsidRPr="00EF4B68">
        <w:br/>
      </w:r>
      <w:proofErr w:type="spellStart"/>
      <w:r w:rsidRPr="00EF4B68">
        <w:t>Déjase</w:t>
      </w:r>
      <w:proofErr w:type="spellEnd"/>
      <w:r w:rsidRPr="00EF4B68">
        <w:t xml:space="preserve"> establecido que a partir del segundo año de vigencia del presente régimen, se deberán incluir en el cupo total de asignación presupuestaria los montos que fueran otorgados en el año inmediato anterior y que resulten necesarios para la continuidad o finalización de los proyectos aprobados y en ejecución.</w:t>
      </w:r>
      <w:r w:rsidRPr="00EF4B68">
        <w:br/>
      </w:r>
      <w:r w:rsidRPr="00EF4B68">
        <w:br/>
        <w:t xml:space="preserve">ARTÍCULO 20.- En cualquier momento durante la vigencia del FODIS, las partes del contrato de fideicomiso podrán estructurarlo mediante distintos fideicomisos públicos, integrados, con los bienes </w:t>
      </w:r>
      <w:proofErr w:type="spellStart"/>
      <w:r w:rsidRPr="00EF4B68">
        <w:t>fideicomitidos</w:t>
      </w:r>
      <w:proofErr w:type="spellEnd"/>
      <w:r w:rsidRPr="00EF4B68">
        <w:t xml:space="preserve"> previstos en el artículo anterior, con el siguiente destino específico y exclusivo:</w:t>
      </w:r>
      <w:r w:rsidRPr="00EF4B68">
        <w:br/>
      </w:r>
      <w:r w:rsidRPr="00EF4B68">
        <w:br/>
        <w:t>a) Financiar los instrumentos establecidos en el artículo 21 y garantizar el cobro de los mismos;</w:t>
      </w:r>
      <w:r w:rsidRPr="00EF4B68">
        <w:br/>
      </w:r>
      <w:r w:rsidRPr="00EF4B68">
        <w:br/>
        <w:t>b) Garantizar el repago de financiaciones otorgadas por terceros conforme a la presente; y</w:t>
      </w:r>
      <w:r w:rsidRPr="00EF4B68">
        <w:br/>
      </w:r>
      <w:r w:rsidRPr="00EF4B68">
        <w:br/>
        <w:t>c) Emitir valores representativos de deuda.</w:t>
      </w:r>
      <w:r w:rsidRPr="00EF4B68">
        <w:br/>
      </w:r>
      <w:r w:rsidRPr="00EF4B68">
        <w:br/>
        <w:t xml:space="preserve">Los bienes </w:t>
      </w:r>
      <w:proofErr w:type="spellStart"/>
      <w:r w:rsidRPr="00EF4B68">
        <w:t>fideicomitidos</w:t>
      </w:r>
      <w:proofErr w:type="spellEnd"/>
      <w:r w:rsidRPr="00EF4B68">
        <w:t xml:space="preserve"> que integren dichos fideicomisos no podrán aplicarse al pago de obligaciones distintas a las previstas en cada uno de ellos, garantizando la separación de los patrimonios para resguardar la correcta actuación del FODIS en cumplimiento de sus fines.</w:t>
      </w:r>
      <w:r w:rsidRPr="00EF4B68">
        <w:br/>
      </w:r>
      <w:r w:rsidRPr="00EF4B68">
        <w:br/>
        <w:t>ARTÍCULO 21.- Para el cumplimiento de su objeto, el FODIS podrá implementar los instrumentos que se enumeran a continuación, con el fin de viabilizar la adquisición e instalación de bienes de capital previstos en la presente ley:</w:t>
      </w:r>
      <w:r w:rsidRPr="00EF4B68">
        <w:br/>
      </w:r>
      <w:r w:rsidRPr="00EF4B68">
        <w:br/>
        <w:t>a) Proveer fondos y otorgar facilidades a través de préstamos;</w:t>
      </w:r>
      <w:r w:rsidRPr="00EF4B68">
        <w:br/>
      </w:r>
      <w:r w:rsidRPr="00EF4B68">
        <w:br/>
        <w:t>b) Bonificar o subsidiar puntos porcentuales de la tasa de interés de créditos que otorgue o en los cuales intervengan entidades financieras u otros proveedores de financiamiento. En este caso, el riesgo de crédito será asumido por dichas entidades, las que estarán a cargo de la evaluación de riesgo crediticio;</w:t>
      </w:r>
      <w:r w:rsidRPr="00EF4B68">
        <w:br/>
      </w:r>
      <w:r w:rsidRPr="00EF4B68">
        <w:br/>
        <w:t>c) Otorgar incentivos a la inyección de energía generada a partir de fuentes renovables y/o bonificaciones para la adquisición de sistemas de generación distribuida a partir de energía renovable que se establezcan en la reglamentación.</w:t>
      </w:r>
      <w:r w:rsidRPr="00EF4B68">
        <w:br/>
      </w:r>
      <w:r w:rsidRPr="00EF4B68">
        <w:br/>
        <w:t>d) Financiar actividades de difusión, investigación y desarrollo relacionadas a las posibles aplicaciones de este tipo de tecnologías. Se otorgará preferencia en la asignación de financiamiento a aquellos emprendimientos de investigación que se encuentren radicados en regiones del país con menor desarrollo relativo.</w:t>
      </w:r>
      <w:r w:rsidRPr="00EF4B68">
        <w:br/>
      </w:r>
      <w:r w:rsidRPr="00EF4B68">
        <w:br/>
        <w:t>ARTÍCULO 22.- Tanto el FODIS como el fiduciario, en sus operaciones relativas al FODIS, como así también los débitos y/o créditos correspondientes a las cuentas utilizadas por los fondos fiduciarios públicos que se estructuren en el marco del FODIS y al fiduciario en sus operaciones relativas a dichas cuentas, estarán eximidos de todos los impuestos, tasas y contribuciones nacionales existentes y a crearse en el futuro. Esta exención contempla los impuestos de las leyes 20.628, 25.063, 25.413 y 23.349 y otros impuestos internos que pudieran corresponder.</w:t>
      </w:r>
      <w:r w:rsidRPr="00EF4B68">
        <w:br/>
      </w:r>
      <w:r w:rsidRPr="00EF4B68">
        <w:br/>
      </w:r>
      <w:r w:rsidRPr="00EF4B68">
        <w:lastRenderedPageBreak/>
        <w:t>ARTÍCULO 23.- La autoridad de aplicación estará facultada para dictar las normas reglamentarias, aclaratorias, modificatorias y complementarias que resulten pertinentes para la administración del Fondo, y de aplicar las sanciones que correspondan, así como también de reemplazar al fiduciario.</w:t>
      </w:r>
      <w:r w:rsidRPr="00EF4B68">
        <w:br/>
      </w:r>
      <w:r w:rsidRPr="00EF4B68">
        <w:br/>
        <w:t xml:space="preserve">ARTÍCULO 24.- </w:t>
      </w:r>
      <w:proofErr w:type="spellStart"/>
      <w:r w:rsidRPr="00EF4B68">
        <w:t>Facúltase</w:t>
      </w:r>
      <w:proofErr w:type="spellEnd"/>
      <w:r w:rsidRPr="00EF4B68">
        <w:t xml:space="preserve"> a la autoridad de aplicación a suscribir el contrato de fideicomiso con el fiduciario.</w:t>
      </w:r>
      <w:r w:rsidRPr="00EF4B68">
        <w:br/>
      </w:r>
    </w:p>
    <w:p w:rsidR="00EF4B68" w:rsidRPr="00EF4B68" w:rsidRDefault="00EF4B68" w:rsidP="00EF4B68">
      <w:r w:rsidRPr="00EF4B68">
        <w:t>CAPÍTULO VI</w:t>
      </w:r>
      <w:r w:rsidRPr="00EF4B68">
        <w:br/>
      </w:r>
      <w:r w:rsidRPr="00EF4B68">
        <w:br/>
        <w:t>Beneficios promocionales</w:t>
      </w:r>
    </w:p>
    <w:p w:rsidR="00EF4B68" w:rsidRPr="00EF4B68" w:rsidRDefault="00EF4B68" w:rsidP="00EF4B68">
      <w:r w:rsidRPr="00EF4B68">
        <w:br/>
        <w:t>ARTÍCULO 25.- La autoridad de aplicación establecerá los instrumentos, incentivos y beneficios a fin de promocionar la generación distribuida de energía eléctrica a partir de fuentes renovables, los que se implementarán a través del FODIS, correspondiendo a los usuarios-generadores que acrediten fehacientemente el cumplimiento de los requisitos establecidos en la presente ley y sus reglamentaciones.</w:t>
      </w:r>
      <w:r w:rsidRPr="00EF4B68">
        <w:br/>
      </w:r>
      <w:r w:rsidRPr="00EF4B68">
        <w:br/>
        <w:t>La definición de dichos instrumentos, incentivos y beneficios se realizará teniendo en cuenta, entre otros, los criterios siguientes: el costo de la energía generada y/o inyectada, la potencia instalada, el valor de mercado de los equipamientos, diferenciación por tecnologías, diferencia horaria y/o condiciones regionales.</w:t>
      </w:r>
      <w:r w:rsidRPr="00EF4B68">
        <w:br/>
      </w:r>
      <w:r w:rsidRPr="00EF4B68">
        <w:br/>
        <w:t>ARTÍCULO 26.- El Fondo establecerá beneficios promocionales en forma de bonificación sobre el costo de capital para adquisición de sistemas de generación distribuida de fuentes renovables. Dicha bonificación será establecida en función de la potencia a instalar según lo establezca la reglamentación de la presente para cada tecnología. Al menos un tercio de los montos afectados a los instrumentos, incentivos y beneficios que establezca deberán destinarse a emprendimientos residenciales de vivienda unifamiliar, pudiendo afectarse el sobrante no utilizado el próximo ejercicio fiscal a otros fines.</w:t>
      </w:r>
      <w:r w:rsidRPr="00EF4B68">
        <w:br/>
      </w:r>
      <w:r w:rsidRPr="00EF4B68">
        <w:br/>
        <w:t>ARTÍCULO 27.- El Fondo deberá instrumentar un precio adicional de incentivo respecto de la energía generada a partir de fuentes renovables, independientemente de la tarifa de inyección establecida en la presente. Dicho precio de incentivo será fijado por tiempo limitado y sus valores ajustados de acuerdo a lo que se establezca en la reglamentación y normas complementarias, en base a los costos evitados para el sistema eléctrico en su conjunto. Este precio de incentivo será fijado de manera proporcional para todos los aportantes al sistema conforme la energía generada y no podrá afectar en más de un veinte por ciento (20%) los recursos del Fondo.</w:t>
      </w:r>
      <w:r w:rsidRPr="00EF4B68">
        <w:br/>
      </w:r>
      <w:r w:rsidRPr="00EF4B68">
        <w:br/>
        <w:t>ARTÍCULO 28.- La autoridad de aplicación podrá instrumentar un beneficio promocional en forma de certificado de crédito fiscal para ser aplicado al pago de impuestos nacionales, por un valor a establecer a través de la reglamentación de la presente y teniendo en cuenta los criterios indicados en el artículo anterior. El monto total del certificado de crédito fiscal no podrá superar en ningún caso el cincuenta por ciento (50%) del costo de combustible fósil desplazado durante la vida útil del sistema de generación distribuida, de acuerdo a la estimación que efectúe la autoridad de aplicación.</w:t>
      </w:r>
      <w:r w:rsidRPr="00EF4B68">
        <w:br/>
      </w:r>
      <w:r w:rsidRPr="00EF4B68">
        <w:br/>
        <w:t>El certificado de crédito fiscal será nominativo e intransferible, pudiendo ser aplicado por los beneficiarios al pago de la totalidad de los montos a abonar en concepto de impuesto a las ganancias, impuesto a la ganancia mínima presunta, impuesto al valor agregado, impuestos internos, en carácter de saldo de declaración jurada y anticipos, cuya recaudación se encuentra a cargo de la Administración Federal de Ingresos Públicos.</w:t>
      </w:r>
      <w:r w:rsidRPr="00EF4B68">
        <w:br/>
      </w:r>
      <w:r w:rsidRPr="00EF4B68">
        <w:br/>
        <w:t xml:space="preserve">Se establece para el ejercicio del año de entrada en vigencia de la presente ley un cupo fiscal de pesos </w:t>
      </w:r>
      <w:r w:rsidRPr="00EF4B68">
        <w:lastRenderedPageBreak/>
        <w:t>doscientos millones ($ 200.000.000) para ser asignado a los beneficios promocionales previstos en el presente artículo. Los beneficios serán asignados de acuerdo con el procedimiento que establezca la reglamentación a tal efecto.</w:t>
      </w:r>
      <w:r w:rsidRPr="00EF4B68">
        <w:br/>
      </w:r>
      <w:r w:rsidRPr="00EF4B68">
        <w:br/>
        <w:t>En caso que el cupo fiscal previsto en el párrafo anterior no sea asignado en su totalidad en el ejercicio de entrada en vigencia de la presente, el mismo se transferirá automáticamente al ejercicio siguiente.</w:t>
      </w:r>
      <w:r w:rsidRPr="00EF4B68">
        <w:br/>
      </w:r>
      <w:r w:rsidRPr="00EF4B68">
        <w:br/>
        <w:t>ARTÍCULO 29.- La autoridad de aplicación establecerá beneficios diferenciales prioritarios para la adquisición de equipamiento de generación distribuida a partir de fuentes renovables de fabricación nacional, siempre y cuando los mismos cumplan con los requisitos de integración de valor agregado nacional que establezca la reglamentación. En estos casos, los beneficios se establecerán tomando como base, el porcentaje de valor agregado nacional y serán como mínimo un veinte por ciento (20%) superiores a lo establecido mediante el régimen general.</w:t>
      </w:r>
      <w:r w:rsidRPr="00EF4B68">
        <w:br/>
      </w:r>
      <w:r w:rsidRPr="00EF4B68">
        <w:br/>
        <w:t>ARTÍCULO 30.- La vigencia del régimen de promoción se establece por doce (12) años a contar desde la reglamentación, con independencia de los plazos crediticios que sean establecidos por la autoridad de aplicación, prorrogables por igual término por el Poder Ejecutivo nacional.</w:t>
      </w:r>
      <w:r w:rsidRPr="00EF4B68">
        <w:br/>
      </w:r>
      <w:r w:rsidRPr="00EF4B68">
        <w:br/>
        <w:t>ARTÍCULO 31.- No podrán acogerse a los instrumentos y beneficios promocionales que disponga el FODIS mencionados en el presente capítulo las personas que se encuentren dentro de alguna de las siguientes situaciones:</w:t>
      </w:r>
      <w:r w:rsidRPr="00EF4B68">
        <w:br/>
      </w:r>
      <w:r w:rsidRPr="00EF4B68">
        <w:br/>
        <w:t>a) Declarados en estado de quiebra, respecto de los cuales no se haya dispuesto la continuidad de la explotación, conforme a lo establecido en la ley 24.522 y sus modificaciones, según corresponda;</w:t>
      </w:r>
      <w:r w:rsidRPr="00EF4B68">
        <w:br/>
      </w:r>
      <w:r w:rsidRPr="00EF4B68">
        <w:br/>
        <w:t>b) Querellados o denunciados penalmente por la entonces Dirección General Impositiva, dependiente de la ex Secretaría de Hacienda del entonces Ministerio de Economía y Obras y Servicios Públicos, o la Administración Federal de Ingresos Públicos, entidad autárquica en el ámbito del Ministerio de Economía y Producción, con fundamento en la ley 24.769 y sus modificaciones, según corresponda, a cuyo respecto se haya formulado el correspondiente requerimiento fiscal de elevación a juicio con anterioridad a la entrada en vigencia de la presente ley y se encuentren procesados;</w:t>
      </w:r>
      <w:r w:rsidRPr="00EF4B68">
        <w:br/>
      </w:r>
      <w:r w:rsidRPr="00EF4B68">
        <w:br/>
        <w:t>c) Denunciados formalmente o querellados penalmente por delitos comunes que tengan conexión con el incumplimiento de sus obligaciones tributarias o la de terceros, a cuyo respecto se haya formulado el correspondiente requerimiento fiscal de elevación a juicio con anterioridad a la entrada en vigencia de la presente ley y se encuentren procesados;</w:t>
      </w:r>
      <w:r w:rsidRPr="00EF4B68">
        <w:br/>
      </w:r>
      <w:r w:rsidRPr="00EF4B68">
        <w:br/>
        <w:t>d) Las personas jurídicas, —incluidas las cooperativas— en las que, según corresponda, sus socios, administradores, directores, síndicos, miembros de consejos de vigilancia, o quienes ocupen cargos equivalentes en las mismas, hayan sido denunciados formalmente o querellados penalmente por delitos comunes que tengan conexión con el incumplimiento de sus obligaciones tributarias o la de terceros, a cuyo respecto se haya formulado el correspondiente requerimiento fiscal de elevación a juicio con anterioridad a la entrada en vigencia de la presente ley y se encuentren procesados.</w:t>
      </w:r>
      <w:r w:rsidRPr="00EF4B68">
        <w:br/>
      </w:r>
      <w:r w:rsidRPr="00EF4B68">
        <w:br/>
        <w:t>El acaecimiento de cualquiera de las circunstancias mencionadas en los incisos precedentes, producido con posterioridad al acogimiento al presente régimen, será causa de caducidad total del tratamiento acordado en el mismo.</w:t>
      </w:r>
      <w:r w:rsidRPr="00EF4B68">
        <w:br/>
      </w:r>
    </w:p>
    <w:p w:rsidR="00EF4B68" w:rsidRPr="00EF4B68" w:rsidRDefault="00EF4B68" w:rsidP="00EF4B68">
      <w:r w:rsidRPr="00EF4B68">
        <w:t>CAPÍTULO VII</w:t>
      </w:r>
      <w:r w:rsidRPr="00EF4B68">
        <w:br/>
      </w:r>
      <w:r w:rsidRPr="00EF4B68">
        <w:br/>
        <w:t>Régimen de fomento de la industria nacional</w:t>
      </w:r>
    </w:p>
    <w:p w:rsidR="00EF4B68" w:rsidRPr="00EF4B68" w:rsidRDefault="00EF4B68" w:rsidP="00EF4B68">
      <w:r w:rsidRPr="00EF4B68">
        <w:lastRenderedPageBreak/>
        <w:br/>
        <w:t>ARTÍCULO 32.- Créase el Régimen de Fomento para la Fabricación Nacional de Sistemas, Equipos e Insumos para Generación Distribuida a partir de fuentes renovables, en adelante FANSIGED, en la órbita del Ministerio de Producción u organismo que lo reemplace en el futuro.</w:t>
      </w:r>
      <w:r w:rsidRPr="00EF4B68">
        <w:br/>
      </w:r>
      <w:r w:rsidRPr="00EF4B68">
        <w:br/>
        <w:t>El presente Régimen es de aplicación en todo el territorio de la República Argentina y tendrá vigencia por diez (10) años a partir de la sanción de la presente, prorrogables por igual término por el Poder Ejecutivo nacional.</w:t>
      </w:r>
      <w:r w:rsidRPr="00EF4B68">
        <w:br/>
      </w:r>
      <w:r w:rsidRPr="00EF4B68">
        <w:br/>
        <w:t>ARTÍCULO 33.- Las actividades comprendidas en el FANSIGED son: investigación, diseño, desarrollo, inversión en bienes de capital, producción, certificación y servicios de instalación para la generación distribuida de energía a partir de fuentes renovables.</w:t>
      </w:r>
      <w:r w:rsidRPr="00EF4B68">
        <w:br/>
      </w:r>
      <w:r w:rsidRPr="00EF4B68">
        <w:br/>
        <w:t>ARTÍCULO 34.- Son integrantes del FANSIGED los siguientes instrumentos, incentivos y beneficios:</w:t>
      </w:r>
      <w:r w:rsidRPr="00EF4B68">
        <w:br/>
      </w:r>
      <w:r w:rsidRPr="00EF4B68">
        <w:br/>
        <w:t>a) Certificado de crédito fiscal sobre la inversión en investigación y desarrollo, diseño, bienes de capital, certificación para empresas fabricantes. El mismo será de carácter nominativo y transferible por única vez y tendrá una vigencia de cinco (5) años contados a partir de su emisión. El certificado de crédito fiscal será aplicado al pago de impuestos nacionales, por la totalidad de los montos a abonar en concepto de impuesto a las ganancias, impuesto a la ganancia mínima presunta, impuesto al valor agregado, impuestos internos, con excepción de aquellos gravámenes con destino a la seguridad social, en carácter de saldo de declaración jurada y anticipos, cuya recaudación se encuentra a cargo de la Administración Federal de Ingresos Públicos, por un valor a establecer a través de la reglamentación de la presente. El certificado de crédito fiscal no podrá aplicarse al pago de deudas anteriores a la fecha de emisión del mismo. Los eventuales saldos a favor no darán lugar a reintegros o devoluciones por parte del Estado nacional;</w:t>
      </w:r>
      <w:r w:rsidRPr="00EF4B68">
        <w:br/>
      </w:r>
      <w:r w:rsidRPr="00EF4B68">
        <w:br/>
        <w:t>b) Amortización acelerada del impuesto a las ganancias, por la adquisición de bienes de capital para la fabricación de equipos e insumos destinados a la generación distribuida de energía a partir de fuentes renovables, con excepción de automóviles. Dichas amortizaciones serán practicadas a partir del período fiscal de habilitación del bien, de acuerdo con las normas previstas en el artículo 84 de la Ley de Impuesto a las Ganancias, texto ordenado en 1997 y sus modificaciones, en las condiciones que fije la reglamentación;</w:t>
      </w:r>
      <w:r w:rsidRPr="00EF4B68">
        <w:br/>
      </w:r>
      <w:r w:rsidRPr="00EF4B68">
        <w:br/>
        <w:t>c) Devolución anticipada del impuesto al valor agregado por la adquisición de los bienes aludidos en el inciso b). Será acreditado contra otros impuestos a cargo de la Administración Federal de Ingresos Públicos, en el plazo, las condiciones y las garantías que establezca la reglamentación de la presente ley;</w:t>
      </w:r>
      <w:r w:rsidRPr="00EF4B68">
        <w:br/>
      </w:r>
      <w:r w:rsidRPr="00EF4B68">
        <w:br/>
        <w:t>d) Acceso a financiamiento de la inversión con tasas preferenciales. La autoridad de aplicación pondrá a disposición las líneas de financiamiento FONAPYME Inversión Productiva, FONDEAR Energías Renovables, y las líneas de inversión productivas impulsadas por el Ministerio de Producción o el órgano que un futuro lo reemplace. Los requisitos para el acceso a las líneas de financiamiento antes mencionadas serán aquellos definidos en las bases y condiciones de las mismas;</w:t>
      </w:r>
      <w:r w:rsidRPr="00EF4B68">
        <w:br/>
      </w:r>
      <w:r w:rsidRPr="00EF4B68">
        <w:br/>
        <w:t xml:space="preserve">e) Acceso al Programa de Desarrollo de Proveedores, con el objetivo de fortalecer las capacidades del sector productivo, a través de la promoción de inversiones, la mejora en la gestión productiva de las empresas, el incremento de la capacidad </w:t>
      </w:r>
      <w:proofErr w:type="spellStart"/>
      <w:r w:rsidRPr="00EF4B68">
        <w:t>innovativa</w:t>
      </w:r>
      <w:proofErr w:type="spellEnd"/>
      <w:r w:rsidRPr="00EF4B68">
        <w:t>, la modernización tecnológica, con el propósito de sustituir importaciones y promover la generación de empleo calificado. Las empresas que cumplan con los criterios del Programa podrán acceder a sus líneas de beneficios de asistencia financiera a tasa subsidiada, asistencia técnica y aportes no reembolsables.</w:t>
      </w:r>
      <w:r w:rsidRPr="00EF4B68">
        <w:br/>
      </w:r>
      <w:r w:rsidRPr="00EF4B68">
        <w:br/>
        <w:t xml:space="preserve">La autoridad de aplicación establecerá el porcentaje mínimo de composición de materias primas e </w:t>
      </w:r>
      <w:r w:rsidRPr="00EF4B68">
        <w:lastRenderedPageBreak/>
        <w:t>insumos nacionales exigibles para los beneficiarios de este régimen, no pudiendo ser menores al veinticinco por ciento (25%) durante los primeros tres (3) años de vigencia de la ley y de un cuarenta por ciento (40%) a posteriori.</w:t>
      </w:r>
      <w:r w:rsidRPr="00EF4B68">
        <w:br/>
      </w:r>
      <w:r w:rsidRPr="00EF4B68">
        <w:br/>
        <w:t xml:space="preserve">ARTÍCULO 35.- Podrán adherir al presente régimen </w:t>
      </w:r>
      <w:proofErr w:type="gramStart"/>
      <w:r w:rsidRPr="00EF4B68">
        <w:t>las micro</w:t>
      </w:r>
      <w:proofErr w:type="gramEnd"/>
      <w:r w:rsidRPr="00EF4B68">
        <w:t>, pequeñas y medianas empresas constituidas en la República Argentina que desarrollen como actividad principal alguna de las incluidas en el artículo 33 de la presente ley.</w:t>
      </w:r>
      <w:r w:rsidRPr="00EF4B68">
        <w:br/>
      </w:r>
      <w:r w:rsidRPr="00EF4B68">
        <w:br/>
        <w:t>Quedan excluidas de los beneficios establecidos en los incisos a), b) y c) del artículo 34, las medianas empresas tramo dos según la ley 25.300 y sus modificatorias; y las personas jurídicas, constituidas conforme las leyes societarias de la Nación Argentina o del extranjero, cuyo capital social, en proporción superior al veinticinco por ciento (25%), sea de titularidad de personas físicas o jurídicas de nacionalidad extranjera.</w:t>
      </w:r>
      <w:r w:rsidRPr="00EF4B68">
        <w:br/>
      </w:r>
      <w:r w:rsidRPr="00EF4B68">
        <w:br/>
        <w:t>ARTÍCULO 36.- El FANSIGED contará con un cupo fiscal anual para la asignación del beneficio de certificado de crédito fiscal según lo que la ley de presupuesto general de la administración nacional fije a tal fin.</w:t>
      </w:r>
      <w:r w:rsidRPr="00EF4B68">
        <w:br/>
      </w:r>
      <w:r w:rsidRPr="00EF4B68">
        <w:br/>
        <w:t>Se establece para el ejercicio del año de entrada en vigencia de la presente ley un cupo fiscal de pesos doscientos millones ($ 200.000.000) para ser asignado a los beneficios promocionales previstos en el presente capítulo. Los beneficios serán asignados de acuerdo con el procedimiento que establezca la reglamentación a tal efecto.</w:t>
      </w:r>
      <w:r w:rsidRPr="00EF4B68">
        <w:br/>
      </w:r>
      <w:r w:rsidRPr="00EF4B68">
        <w:br/>
        <w:t>En caso que el cupo fiscal previsto en el párrafo anterior no sea asignado en su totalidad en el ejercicio de entrada en vigencia de la presente, el mismo se transferirá automáticamente al ejercicio siguiente.</w:t>
      </w:r>
      <w:r w:rsidRPr="00EF4B68">
        <w:br/>
      </w:r>
      <w:r w:rsidRPr="00EF4B68">
        <w:br/>
        <w:t>ARTÍCULO 37.- Los beneficios otorgados en dicho régimen se entregarán bajo la condición de aprobación de los estándares de seguridad y calidad establecidos en la reglamentación de la presente. El incumplimiento de las condiciones establecidas en el presente párrafo dará lugar a la pérdida de los beneficios y a la restitución de los fondos asignados más sus intereses.</w:t>
      </w:r>
      <w:r w:rsidRPr="00EF4B68">
        <w:br/>
      </w:r>
    </w:p>
    <w:p w:rsidR="00EF4B68" w:rsidRPr="00EF4B68" w:rsidRDefault="00EF4B68" w:rsidP="00EF4B68">
      <w:r w:rsidRPr="00EF4B68">
        <w:t>CAPÍTULO VIII</w:t>
      </w:r>
      <w:r w:rsidRPr="00EF4B68">
        <w:br/>
      </w:r>
      <w:r w:rsidRPr="00EF4B68">
        <w:br/>
        <w:t>Régimen sancionatorio</w:t>
      </w:r>
    </w:p>
    <w:p w:rsidR="00EF4B68" w:rsidRPr="00EF4B68" w:rsidRDefault="00EF4B68" w:rsidP="00EF4B68">
      <w:r w:rsidRPr="00EF4B68">
        <w:br/>
        <w:t>ARTÍCULO 38.- El incumplimiento por parte del distribuidor de los plazos establecidos respecto de las solicitudes de información y autorización, así como de los plazos de instalación de medidor y conexión del usuario-generador será penalizado y resultará en una compensación a favor del usuario-generador según las sanciones establecidas por el ente regulador jurisdiccional, no pudiendo ser las mismas inferiores, en su valor económico, a lo establecido para penalidades por demoras en la conexión de suministro de usuarios a la red.</w:t>
      </w:r>
      <w:r w:rsidRPr="00EF4B68">
        <w:br/>
      </w:r>
    </w:p>
    <w:p w:rsidR="00EF4B68" w:rsidRPr="00EF4B68" w:rsidRDefault="00EF4B68" w:rsidP="00EF4B68">
      <w:r w:rsidRPr="00EF4B68">
        <w:t>CAPÍTULO IX</w:t>
      </w:r>
      <w:r w:rsidRPr="00EF4B68">
        <w:br/>
      </w:r>
      <w:r w:rsidRPr="00EF4B68">
        <w:br/>
        <w:t>Disposiciones complementarias</w:t>
      </w:r>
    </w:p>
    <w:p w:rsidR="00EF4B68" w:rsidRPr="00EF4B68" w:rsidRDefault="00EF4B68" w:rsidP="00EF4B68">
      <w:r w:rsidRPr="00EF4B68">
        <w:br/>
        <w:t xml:space="preserve">ARTÍCULO 39.- </w:t>
      </w:r>
      <w:proofErr w:type="spellStart"/>
      <w:r w:rsidRPr="00EF4B68">
        <w:t>Derógase</w:t>
      </w:r>
      <w:proofErr w:type="spellEnd"/>
      <w:r w:rsidRPr="00EF4B68">
        <w:t xml:space="preserve"> el artículo 5° de la ley 25.019, sustituido por el artículo 14 de la ley 26.190.</w:t>
      </w:r>
      <w:r w:rsidRPr="00EF4B68">
        <w:br/>
      </w:r>
      <w:r w:rsidRPr="00EF4B68">
        <w:br/>
        <w:t xml:space="preserve">ARTÍCULO 40.- </w:t>
      </w:r>
      <w:proofErr w:type="spellStart"/>
      <w:r w:rsidRPr="00EF4B68">
        <w:t>Invítase</w:t>
      </w:r>
      <w:proofErr w:type="spellEnd"/>
      <w:r w:rsidRPr="00EF4B68">
        <w:t xml:space="preserve"> a las provincias y a la Ciudad Autónoma de Buenos Aires a adherir a la presente ley y dictar las normas reglamentarias para la aplicación de la presente en el ámbito de su competencia.</w:t>
      </w:r>
      <w:r w:rsidRPr="00EF4B68">
        <w:br/>
      </w:r>
      <w:r w:rsidRPr="00EF4B68">
        <w:lastRenderedPageBreak/>
        <w:br/>
        <w:t>ARTÍCULO 41.- Comuníquese al Poder Ejecutivo nacional.</w:t>
      </w:r>
      <w:r w:rsidRPr="00EF4B68">
        <w:br/>
      </w:r>
      <w:r w:rsidRPr="00EF4B68">
        <w:br/>
        <w:t>DADA EN LA SALA DE SESIONES DEL CONGRESO ARGENTINO, EN BUENOS AIRES, A LOS TREINTA DIAS DEL MES DE NOVIEMBRE DEL AÑO DOS MIL DIECISIETE.</w:t>
      </w:r>
      <w:r w:rsidRPr="00EF4B68">
        <w:br/>
      </w:r>
    </w:p>
    <w:p w:rsidR="00EF4B68" w:rsidRPr="00EF4B68" w:rsidRDefault="00EF4B68" w:rsidP="00EF4B68">
      <w:r w:rsidRPr="00EF4B68">
        <w:t>— REGISTRADA BAJO EL Nº 27424 —</w:t>
      </w:r>
    </w:p>
    <w:p w:rsidR="00EF4B68" w:rsidRPr="00EF4B68" w:rsidRDefault="00EF4B68" w:rsidP="00EF4B68">
      <w:r w:rsidRPr="00EF4B68">
        <w:br/>
        <w:t xml:space="preserve">MARTA G. MICHETTI. — EMILIO MONZO. — Eugenio </w:t>
      </w:r>
      <w:proofErr w:type="spellStart"/>
      <w:r w:rsidRPr="00EF4B68">
        <w:t>Inchausti</w:t>
      </w:r>
      <w:proofErr w:type="spellEnd"/>
      <w:r w:rsidRPr="00EF4B68">
        <w:t xml:space="preserve">. — Juan P. </w:t>
      </w:r>
      <w:proofErr w:type="spellStart"/>
      <w:r w:rsidRPr="00EF4B68">
        <w:t>Tunessi</w:t>
      </w:r>
      <w:proofErr w:type="spellEnd"/>
      <w:r w:rsidRPr="00EF4B68">
        <w:t>.</w:t>
      </w:r>
      <w:r w:rsidRPr="00EF4B68">
        <w:br/>
      </w:r>
    </w:p>
    <w:p w:rsidR="00EF4B68" w:rsidRPr="00EF4B68" w:rsidRDefault="00EF4B68" w:rsidP="00EF4B68">
      <w:r w:rsidRPr="00EF4B68">
        <w:t>e. 27/12/2017 N° 101064/17 v. 27/12/2017</w:t>
      </w:r>
    </w:p>
    <w:p w:rsidR="00B94231" w:rsidRPr="00EF4B68" w:rsidRDefault="00B94231" w:rsidP="00EF4B68">
      <w:bookmarkStart w:id="0" w:name="_GoBack"/>
      <w:bookmarkEnd w:id="0"/>
    </w:p>
    <w:sectPr w:rsidR="00B94231" w:rsidRPr="00EF4B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B68"/>
    <w:rsid w:val="00B94231"/>
    <w:rsid w:val="00EF4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538A5-417B-42B2-9A79-4EE5039F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E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B68"/>
  </w:style>
  <w:style w:type="paragraph" w:styleId="Ttulo1">
    <w:name w:val="heading 1"/>
    <w:basedOn w:val="Normal"/>
    <w:next w:val="Normal"/>
    <w:link w:val="Ttulo1Car"/>
    <w:uiPriority w:val="9"/>
    <w:qFormat/>
    <w:rsid w:val="00EF4B68"/>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EF4B6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EF4B6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semiHidden/>
    <w:unhideWhenUsed/>
    <w:qFormat/>
    <w:rsid w:val="00EF4B68"/>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EF4B6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EF4B6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EF4B68"/>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iPriority w:val="9"/>
    <w:semiHidden/>
    <w:unhideWhenUsed/>
    <w:qFormat/>
    <w:rsid w:val="00EF4B68"/>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EF4B6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4B68"/>
    <w:rPr>
      <w:color w:val="0000FF"/>
      <w:u w:val="single"/>
    </w:rPr>
  </w:style>
  <w:style w:type="character" w:customStyle="1" w:styleId="Ttulo1Car">
    <w:name w:val="Título 1 Car"/>
    <w:basedOn w:val="Fuentedeprrafopredeter"/>
    <w:link w:val="Ttulo1"/>
    <w:uiPriority w:val="9"/>
    <w:rsid w:val="00EF4B6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EF4B68"/>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EF4B68"/>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semiHidden/>
    <w:rsid w:val="00EF4B68"/>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EF4B68"/>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EF4B68"/>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EF4B68"/>
    <w:rPr>
      <w:rFonts w:asciiTheme="majorHAnsi" w:eastAsiaTheme="majorEastAsia" w:hAnsiTheme="majorHAnsi" w:cstheme="majorBidi"/>
      <w:i/>
      <w:iCs/>
      <w:color w:val="1F4E79" w:themeColor="accent1" w:themeShade="80"/>
      <w:sz w:val="21"/>
      <w:szCs w:val="21"/>
    </w:rPr>
  </w:style>
  <w:style w:type="character" w:customStyle="1" w:styleId="Ttulo8Car">
    <w:name w:val="Título 8 Car"/>
    <w:basedOn w:val="Fuentedeprrafopredeter"/>
    <w:link w:val="Ttulo8"/>
    <w:uiPriority w:val="9"/>
    <w:semiHidden/>
    <w:rsid w:val="00EF4B68"/>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EF4B68"/>
    <w:rPr>
      <w:rFonts w:asciiTheme="majorHAnsi" w:eastAsiaTheme="majorEastAsia" w:hAnsiTheme="majorHAnsi" w:cstheme="majorBidi"/>
      <w:b/>
      <w:bCs/>
      <w:i/>
      <w:iCs/>
      <w:color w:val="44546A" w:themeColor="text2"/>
    </w:rPr>
  </w:style>
  <w:style w:type="paragraph" w:styleId="Descripcin">
    <w:name w:val="caption"/>
    <w:basedOn w:val="Normal"/>
    <w:next w:val="Normal"/>
    <w:uiPriority w:val="35"/>
    <w:semiHidden/>
    <w:unhideWhenUsed/>
    <w:qFormat/>
    <w:rsid w:val="00EF4B68"/>
    <w:pPr>
      <w:spacing w:line="240" w:lineRule="auto"/>
    </w:pPr>
    <w:rPr>
      <w:b/>
      <w:bCs/>
      <w:smallCaps/>
      <w:color w:val="595959" w:themeColor="text1" w:themeTint="A6"/>
      <w:spacing w:val="6"/>
    </w:rPr>
  </w:style>
  <w:style w:type="paragraph" w:styleId="Puesto">
    <w:name w:val="Title"/>
    <w:basedOn w:val="Normal"/>
    <w:next w:val="Normal"/>
    <w:link w:val="PuestoCar"/>
    <w:uiPriority w:val="10"/>
    <w:qFormat/>
    <w:rsid w:val="00EF4B68"/>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PuestoCar">
    <w:name w:val="Puesto Car"/>
    <w:basedOn w:val="Fuentedeprrafopredeter"/>
    <w:link w:val="Puesto"/>
    <w:uiPriority w:val="10"/>
    <w:rsid w:val="00EF4B68"/>
    <w:rPr>
      <w:rFonts w:asciiTheme="majorHAnsi" w:eastAsiaTheme="majorEastAsia" w:hAnsiTheme="majorHAnsi" w:cstheme="majorBidi"/>
      <w:color w:val="5B9BD5" w:themeColor="accent1"/>
      <w:spacing w:val="-10"/>
      <w:sz w:val="56"/>
      <w:szCs w:val="56"/>
    </w:rPr>
  </w:style>
  <w:style w:type="paragraph" w:styleId="Subttulo">
    <w:name w:val="Subtitle"/>
    <w:basedOn w:val="Normal"/>
    <w:next w:val="Normal"/>
    <w:link w:val="SubttuloCar"/>
    <w:uiPriority w:val="11"/>
    <w:qFormat/>
    <w:rsid w:val="00EF4B68"/>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EF4B68"/>
    <w:rPr>
      <w:rFonts w:asciiTheme="majorHAnsi" w:eastAsiaTheme="majorEastAsia" w:hAnsiTheme="majorHAnsi" w:cstheme="majorBidi"/>
      <w:sz w:val="24"/>
      <w:szCs w:val="24"/>
    </w:rPr>
  </w:style>
  <w:style w:type="character" w:styleId="Textoennegrita">
    <w:name w:val="Strong"/>
    <w:basedOn w:val="Fuentedeprrafopredeter"/>
    <w:uiPriority w:val="22"/>
    <w:qFormat/>
    <w:rsid w:val="00EF4B68"/>
    <w:rPr>
      <w:b/>
      <w:bCs/>
    </w:rPr>
  </w:style>
  <w:style w:type="character" w:styleId="nfasis">
    <w:name w:val="Emphasis"/>
    <w:basedOn w:val="Fuentedeprrafopredeter"/>
    <w:uiPriority w:val="20"/>
    <w:qFormat/>
    <w:rsid w:val="00EF4B68"/>
    <w:rPr>
      <w:i/>
      <w:iCs/>
    </w:rPr>
  </w:style>
  <w:style w:type="paragraph" w:styleId="Sinespaciado">
    <w:name w:val="No Spacing"/>
    <w:uiPriority w:val="1"/>
    <w:qFormat/>
    <w:rsid w:val="00EF4B68"/>
    <w:pPr>
      <w:spacing w:after="0" w:line="240" w:lineRule="auto"/>
    </w:pPr>
  </w:style>
  <w:style w:type="paragraph" w:styleId="Cita">
    <w:name w:val="Quote"/>
    <w:basedOn w:val="Normal"/>
    <w:next w:val="Normal"/>
    <w:link w:val="CitaCar"/>
    <w:uiPriority w:val="29"/>
    <w:qFormat/>
    <w:rsid w:val="00EF4B68"/>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EF4B68"/>
    <w:rPr>
      <w:i/>
      <w:iCs/>
      <w:color w:val="404040" w:themeColor="text1" w:themeTint="BF"/>
    </w:rPr>
  </w:style>
  <w:style w:type="paragraph" w:styleId="Citadestacada">
    <w:name w:val="Intense Quote"/>
    <w:basedOn w:val="Normal"/>
    <w:next w:val="Normal"/>
    <w:link w:val="CitadestacadaCar"/>
    <w:uiPriority w:val="30"/>
    <w:qFormat/>
    <w:rsid w:val="00EF4B68"/>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EF4B68"/>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EF4B68"/>
    <w:rPr>
      <w:i/>
      <w:iCs/>
      <w:color w:val="404040" w:themeColor="text1" w:themeTint="BF"/>
    </w:rPr>
  </w:style>
  <w:style w:type="character" w:styleId="nfasisintenso">
    <w:name w:val="Intense Emphasis"/>
    <w:basedOn w:val="Fuentedeprrafopredeter"/>
    <w:uiPriority w:val="21"/>
    <w:qFormat/>
    <w:rsid w:val="00EF4B68"/>
    <w:rPr>
      <w:b/>
      <w:bCs/>
      <w:i/>
      <w:iCs/>
    </w:rPr>
  </w:style>
  <w:style w:type="character" w:styleId="Referenciasutil">
    <w:name w:val="Subtle Reference"/>
    <w:basedOn w:val="Fuentedeprrafopredeter"/>
    <w:uiPriority w:val="31"/>
    <w:qFormat/>
    <w:rsid w:val="00EF4B68"/>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EF4B68"/>
    <w:rPr>
      <w:b/>
      <w:bCs/>
      <w:smallCaps/>
      <w:spacing w:val="5"/>
      <w:u w:val="single"/>
    </w:rPr>
  </w:style>
  <w:style w:type="character" w:styleId="Ttulodellibro">
    <w:name w:val="Book Title"/>
    <w:basedOn w:val="Fuentedeprrafopredeter"/>
    <w:uiPriority w:val="33"/>
    <w:qFormat/>
    <w:rsid w:val="00EF4B68"/>
    <w:rPr>
      <w:b/>
      <w:bCs/>
      <w:smallCaps/>
    </w:rPr>
  </w:style>
  <w:style w:type="paragraph" w:styleId="TtulodeTDC">
    <w:name w:val="TOC Heading"/>
    <w:basedOn w:val="Ttulo1"/>
    <w:next w:val="Normal"/>
    <w:uiPriority w:val="39"/>
    <w:semiHidden/>
    <w:unhideWhenUsed/>
    <w:qFormat/>
    <w:rsid w:val="00EF4B6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84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ervicios.infoleg.gob.ar/infolegInternet/verNorma.do?id=30526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4D600-9543-4ED5-9626-3B42BF9AB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5654</Words>
  <Characters>31097</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2018-06-20T00:30:00Z</dcterms:created>
  <dcterms:modified xsi:type="dcterms:W3CDTF">2018-06-20T00:40:00Z</dcterms:modified>
</cp:coreProperties>
</file>