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F2" w:rsidRDefault="00DB09F2" w:rsidP="00461E56">
      <w:pPr>
        <w:rPr>
          <w:sz w:val="24"/>
          <w:u w:val="single"/>
        </w:rPr>
      </w:pPr>
    </w:p>
    <w:p w:rsidR="00AE7C55" w:rsidRPr="00461E56" w:rsidRDefault="00AE7C55" w:rsidP="00AE7C55">
      <w:pPr>
        <w:spacing w:after="0"/>
        <w:jc w:val="both"/>
        <w:rPr>
          <w:caps/>
          <w:sz w:val="22"/>
          <w:szCs w:val="22"/>
        </w:rPr>
      </w:pPr>
      <w:r>
        <w:rPr>
          <w:sz w:val="22"/>
          <w:szCs w:val="22"/>
        </w:rPr>
        <w:t>Identificación</w:t>
      </w:r>
      <w:r w:rsidRPr="00461E56">
        <w:rPr>
          <w:caps/>
          <w:sz w:val="22"/>
          <w:szCs w:val="22"/>
        </w:rPr>
        <w:t xml:space="preserve">: Ingeniería Industrial 2 – </w:t>
      </w:r>
      <w:proofErr w:type="spellStart"/>
      <w:r w:rsidRPr="00461E56">
        <w:rPr>
          <w:caps/>
          <w:sz w:val="22"/>
          <w:szCs w:val="22"/>
        </w:rPr>
        <w:t>Cód</w:t>
      </w:r>
      <w:proofErr w:type="spellEnd"/>
      <w:r w:rsidRPr="00461E56">
        <w:rPr>
          <w:caps/>
          <w:sz w:val="22"/>
          <w:szCs w:val="22"/>
        </w:rPr>
        <w:t>: IN568</w:t>
      </w:r>
    </w:p>
    <w:p w:rsidR="00AE7C55" w:rsidRPr="00AE7C55" w:rsidRDefault="00AE7C55" w:rsidP="00AE7C55">
      <w:pPr>
        <w:spacing w:after="0"/>
        <w:jc w:val="both"/>
        <w:rPr>
          <w:b w:val="0"/>
          <w:sz w:val="22"/>
          <w:szCs w:val="22"/>
        </w:rPr>
      </w:pPr>
      <w:r>
        <w:rPr>
          <w:sz w:val="22"/>
          <w:szCs w:val="22"/>
        </w:rPr>
        <w:t xml:space="preserve">Departamento: </w:t>
      </w:r>
      <w:r w:rsidRPr="00AE7C55">
        <w:rPr>
          <w:b w:val="0"/>
          <w:sz w:val="22"/>
          <w:szCs w:val="22"/>
        </w:rPr>
        <w:t>Ingeniería Industrial</w:t>
      </w:r>
    </w:p>
    <w:p w:rsidR="00AE7C55" w:rsidRPr="00AE7C55" w:rsidRDefault="00AE7C55" w:rsidP="00AE7C55">
      <w:pPr>
        <w:spacing w:after="0"/>
        <w:jc w:val="both"/>
        <w:rPr>
          <w:b w:val="0"/>
          <w:sz w:val="22"/>
          <w:szCs w:val="22"/>
        </w:rPr>
      </w:pPr>
      <w:r>
        <w:rPr>
          <w:sz w:val="22"/>
          <w:szCs w:val="22"/>
        </w:rPr>
        <w:t xml:space="preserve">Carrera: </w:t>
      </w:r>
      <w:r w:rsidRPr="00AE7C55">
        <w:rPr>
          <w:b w:val="0"/>
          <w:sz w:val="22"/>
          <w:szCs w:val="22"/>
        </w:rPr>
        <w:t>Ingeniería Industrial</w:t>
      </w:r>
    </w:p>
    <w:p w:rsidR="00AE7C55" w:rsidRDefault="00AE7C55" w:rsidP="00AE7C55">
      <w:pPr>
        <w:spacing w:after="0"/>
        <w:jc w:val="both"/>
        <w:rPr>
          <w:sz w:val="22"/>
          <w:szCs w:val="22"/>
        </w:rPr>
      </w:pPr>
      <w:r>
        <w:rPr>
          <w:sz w:val="22"/>
          <w:szCs w:val="22"/>
        </w:rPr>
        <w:t xml:space="preserve">Plan de Estudios: </w:t>
      </w:r>
      <w:r w:rsidRPr="00AE7C55">
        <w:rPr>
          <w:b w:val="0"/>
          <w:sz w:val="22"/>
          <w:szCs w:val="22"/>
        </w:rPr>
        <w:t>2014</w:t>
      </w:r>
    </w:p>
    <w:p w:rsidR="00AE7C55" w:rsidRDefault="00AE7C55" w:rsidP="00AE7C55">
      <w:pPr>
        <w:spacing w:after="0"/>
        <w:jc w:val="both"/>
        <w:rPr>
          <w:sz w:val="22"/>
          <w:szCs w:val="22"/>
        </w:rPr>
      </w:pPr>
      <w:r>
        <w:rPr>
          <w:sz w:val="22"/>
          <w:szCs w:val="22"/>
        </w:rPr>
        <w:t xml:space="preserve">Ubicación: </w:t>
      </w:r>
      <w:r w:rsidRPr="00AE7C55">
        <w:rPr>
          <w:b w:val="0"/>
          <w:sz w:val="22"/>
          <w:szCs w:val="22"/>
        </w:rPr>
        <w:t>Quinto Año</w:t>
      </w:r>
    </w:p>
    <w:p w:rsidR="00AE7C55" w:rsidRDefault="00AE7C55" w:rsidP="00AE7C55">
      <w:pPr>
        <w:spacing w:after="0"/>
        <w:jc w:val="both"/>
        <w:rPr>
          <w:sz w:val="22"/>
          <w:szCs w:val="22"/>
        </w:rPr>
      </w:pPr>
      <w:r>
        <w:rPr>
          <w:sz w:val="22"/>
          <w:szCs w:val="22"/>
        </w:rPr>
        <w:t xml:space="preserve">Régimen; </w:t>
      </w:r>
      <w:r w:rsidRPr="00AE7C55">
        <w:rPr>
          <w:b w:val="0"/>
          <w:sz w:val="22"/>
          <w:szCs w:val="22"/>
        </w:rPr>
        <w:t>Cuatrimestral</w:t>
      </w:r>
    </w:p>
    <w:p w:rsidR="00AE7C55" w:rsidRDefault="00AE7C55" w:rsidP="00AE7C55">
      <w:pPr>
        <w:spacing w:after="0"/>
        <w:jc w:val="both"/>
        <w:rPr>
          <w:sz w:val="22"/>
          <w:szCs w:val="22"/>
        </w:rPr>
      </w:pPr>
      <w:r>
        <w:rPr>
          <w:sz w:val="22"/>
          <w:szCs w:val="22"/>
        </w:rPr>
        <w:t xml:space="preserve">Duración: </w:t>
      </w:r>
      <w:r w:rsidR="002F1DBB">
        <w:rPr>
          <w:b w:val="0"/>
          <w:sz w:val="22"/>
          <w:szCs w:val="22"/>
        </w:rPr>
        <w:t>15</w:t>
      </w:r>
      <w:r w:rsidRPr="00AE7C55">
        <w:rPr>
          <w:b w:val="0"/>
          <w:sz w:val="22"/>
          <w:szCs w:val="22"/>
        </w:rPr>
        <w:t xml:space="preserve"> Semanas</w:t>
      </w:r>
    </w:p>
    <w:p w:rsidR="00AE7C55" w:rsidRDefault="00AE7C55" w:rsidP="00AE7C55">
      <w:pPr>
        <w:spacing w:after="0"/>
        <w:jc w:val="both"/>
        <w:rPr>
          <w:sz w:val="22"/>
          <w:szCs w:val="22"/>
        </w:rPr>
      </w:pPr>
      <w:r>
        <w:rPr>
          <w:sz w:val="22"/>
          <w:szCs w:val="22"/>
        </w:rPr>
        <w:t xml:space="preserve">Crédito horario semanal: </w:t>
      </w:r>
      <w:r w:rsidRPr="00AE7C55">
        <w:rPr>
          <w:b w:val="0"/>
          <w:sz w:val="22"/>
          <w:szCs w:val="22"/>
        </w:rPr>
        <w:t>04 Horas</w:t>
      </w:r>
    </w:p>
    <w:p w:rsidR="00AE7C55" w:rsidRDefault="00AE7C55" w:rsidP="00AE7C55">
      <w:pPr>
        <w:spacing w:after="0"/>
        <w:jc w:val="both"/>
        <w:rPr>
          <w:sz w:val="22"/>
          <w:szCs w:val="22"/>
        </w:rPr>
      </w:pPr>
      <w:r>
        <w:rPr>
          <w:sz w:val="22"/>
          <w:szCs w:val="22"/>
        </w:rPr>
        <w:t>Crédito horario total:</w:t>
      </w:r>
      <w:r w:rsidRPr="00AE7C55">
        <w:rPr>
          <w:b w:val="0"/>
          <w:sz w:val="22"/>
          <w:szCs w:val="22"/>
        </w:rPr>
        <w:t xml:space="preserve"> 60 horas</w:t>
      </w:r>
    </w:p>
    <w:p w:rsidR="002F1DBB" w:rsidRDefault="002F1DBB" w:rsidP="00AE7C55">
      <w:pPr>
        <w:spacing w:after="0"/>
        <w:jc w:val="both"/>
        <w:rPr>
          <w:b w:val="0"/>
          <w:sz w:val="22"/>
          <w:szCs w:val="22"/>
        </w:rPr>
      </w:pPr>
    </w:p>
    <w:p w:rsidR="002F1DBB" w:rsidRDefault="002F1DBB" w:rsidP="00AE7C55">
      <w:pPr>
        <w:spacing w:after="0"/>
        <w:jc w:val="both"/>
        <w:rPr>
          <w:b w:val="0"/>
          <w:sz w:val="22"/>
          <w:szCs w:val="22"/>
        </w:rPr>
      </w:pPr>
    </w:p>
    <w:p w:rsidR="00D915A0" w:rsidRDefault="00D915A0" w:rsidP="00D915A0">
      <w:pPr>
        <w:spacing w:after="0"/>
        <w:jc w:val="both"/>
        <w:rPr>
          <w:b w:val="0"/>
          <w:sz w:val="22"/>
          <w:szCs w:val="22"/>
        </w:rPr>
      </w:pPr>
    </w:p>
    <w:p w:rsidR="00D915A0" w:rsidRPr="00D915A0" w:rsidRDefault="00D915A0" w:rsidP="00D915A0">
      <w:pPr>
        <w:spacing w:after="0"/>
        <w:jc w:val="both"/>
        <w:rPr>
          <w:sz w:val="22"/>
          <w:szCs w:val="22"/>
        </w:rPr>
      </w:pPr>
      <w:r w:rsidRPr="00D915A0">
        <w:rPr>
          <w:sz w:val="22"/>
          <w:szCs w:val="22"/>
        </w:rPr>
        <w:t xml:space="preserve"> CONTENIDOS (Aprobados por Resolución CD FI Nº 026/13)</w:t>
      </w:r>
    </w:p>
    <w:p w:rsidR="00D915A0" w:rsidRDefault="00D915A0" w:rsidP="00D915A0">
      <w:pPr>
        <w:spacing w:after="0"/>
        <w:jc w:val="both"/>
        <w:rPr>
          <w:b w:val="0"/>
          <w:sz w:val="22"/>
          <w:szCs w:val="22"/>
        </w:rPr>
      </w:pPr>
    </w:p>
    <w:p w:rsidR="00D915A0" w:rsidRDefault="00D915A0" w:rsidP="00D915A0">
      <w:pPr>
        <w:spacing w:after="0"/>
        <w:jc w:val="both"/>
        <w:rPr>
          <w:b w:val="0"/>
          <w:sz w:val="22"/>
          <w:szCs w:val="22"/>
        </w:rPr>
      </w:pPr>
      <w:r>
        <w:rPr>
          <w:b w:val="0"/>
          <w:sz w:val="22"/>
          <w:szCs w:val="22"/>
        </w:rPr>
        <w:t>Gestión del Mantenimiento Industrial. Logística. Temas de actualidad de la Ingeniería Industrial.</w:t>
      </w:r>
    </w:p>
    <w:p w:rsidR="00D70ED1" w:rsidRDefault="00D70ED1" w:rsidP="00D915A0">
      <w:pPr>
        <w:spacing w:after="0"/>
        <w:jc w:val="both"/>
        <w:rPr>
          <w:b w:val="0"/>
          <w:sz w:val="22"/>
          <w:szCs w:val="22"/>
        </w:rPr>
      </w:pPr>
    </w:p>
    <w:p w:rsidR="00D70ED1" w:rsidRPr="00D70ED1" w:rsidRDefault="00D70ED1" w:rsidP="00D915A0">
      <w:pPr>
        <w:spacing w:after="0"/>
        <w:jc w:val="both"/>
        <w:rPr>
          <w:sz w:val="22"/>
          <w:szCs w:val="22"/>
        </w:rPr>
      </w:pPr>
      <w:r w:rsidRPr="00E3402F">
        <w:rPr>
          <w:sz w:val="22"/>
          <w:szCs w:val="22"/>
        </w:rPr>
        <w:t>PROGRAMA</w:t>
      </w:r>
      <w:r w:rsidRPr="00D70ED1">
        <w:rPr>
          <w:sz w:val="22"/>
          <w:szCs w:val="22"/>
        </w:rPr>
        <w:t xml:space="preserve"> ANALÍTICO</w:t>
      </w:r>
    </w:p>
    <w:p w:rsidR="00D70ED1" w:rsidRDefault="00D70ED1" w:rsidP="00D915A0">
      <w:pPr>
        <w:spacing w:after="0"/>
        <w:jc w:val="both"/>
        <w:rPr>
          <w:b w:val="0"/>
          <w:sz w:val="22"/>
          <w:szCs w:val="22"/>
        </w:rPr>
      </w:pPr>
    </w:p>
    <w:p w:rsidR="00D70ED1" w:rsidRPr="00D70ED1" w:rsidRDefault="00D70ED1" w:rsidP="00D915A0">
      <w:pPr>
        <w:spacing w:after="0"/>
        <w:jc w:val="both"/>
        <w:rPr>
          <w:sz w:val="22"/>
          <w:szCs w:val="22"/>
        </w:rPr>
      </w:pPr>
      <w:r w:rsidRPr="00D70ED1">
        <w:rPr>
          <w:sz w:val="22"/>
          <w:szCs w:val="22"/>
        </w:rPr>
        <w:t>Unidad 1: La Logística y la Administración de la Cadena de Suministro.</w:t>
      </w:r>
    </w:p>
    <w:p w:rsidR="00D70ED1" w:rsidRDefault="00D70ED1" w:rsidP="00D915A0">
      <w:pPr>
        <w:spacing w:after="0"/>
        <w:jc w:val="both"/>
        <w:rPr>
          <w:b w:val="0"/>
          <w:sz w:val="22"/>
          <w:szCs w:val="22"/>
        </w:rPr>
      </w:pPr>
      <w:r>
        <w:rPr>
          <w:b w:val="0"/>
          <w:sz w:val="22"/>
          <w:szCs w:val="22"/>
        </w:rPr>
        <w:t>Evolución de la gestión de operaciones en la empresa. La evolución de los conceptos de suministro, producción y distribución.  La cadena de suministros. El efecto látigo.  La logística integral.  La logística dentro del sistema empresaria.  La cadena logística. Costos logísticos.  Tendencias y nuevas tecnologías en la gestión de la cadena de suministros.</w:t>
      </w:r>
      <w:r w:rsidR="008F7ACE">
        <w:rPr>
          <w:b w:val="0"/>
          <w:sz w:val="22"/>
          <w:szCs w:val="22"/>
        </w:rPr>
        <w:t xml:space="preserve"> </w:t>
      </w:r>
      <w:r w:rsidR="008F7ACE" w:rsidRPr="00461E56">
        <w:rPr>
          <w:b w:val="0"/>
          <w:sz w:val="22"/>
          <w:szCs w:val="22"/>
        </w:rPr>
        <w:t>Logística humanitaria.</w:t>
      </w:r>
    </w:p>
    <w:p w:rsidR="00D70ED1" w:rsidRDefault="00D70ED1" w:rsidP="00D915A0">
      <w:pPr>
        <w:spacing w:after="0"/>
        <w:jc w:val="both"/>
        <w:rPr>
          <w:b w:val="0"/>
          <w:sz w:val="22"/>
          <w:szCs w:val="22"/>
        </w:rPr>
      </w:pPr>
    </w:p>
    <w:p w:rsidR="00FB7247" w:rsidRDefault="00FB7247" w:rsidP="00D915A0">
      <w:pPr>
        <w:spacing w:after="0"/>
        <w:jc w:val="both"/>
        <w:rPr>
          <w:sz w:val="22"/>
          <w:szCs w:val="22"/>
        </w:rPr>
      </w:pPr>
    </w:p>
    <w:p w:rsidR="00D70ED1" w:rsidRPr="00D70ED1" w:rsidRDefault="00D70ED1" w:rsidP="00D915A0">
      <w:pPr>
        <w:spacing w:after="0"/>
        <w:jc w:val="both"/>
        <w:rPr>
          <w:sz w:val="22"/>
          <w:szCs w:val="22"/>
        </w:rPr>
      </w:pPr>
      <w:r w:rsidRPr="00D70ED1">
        <w:rPr>
          <w:sz w:val="22"/>
          <w:szCs w:val="22"/>
        </w:rPr>
        <w:t>Unidad 2: Logística de Compras y Aprovisionamiento.</w:t>
      </w:r>
    </w:p>
    <w:p w:rsidR="00D70ED1" w:rsidRPr="00D915A0" w:rsidRDefault="00D70ED1" w:rsidP="00D915A0">
      <w:pPr>
        <w:spacing w:after="0"/>
        <w:jc w:val="both"/>
        <w:rPr>
          <w:b w:val="0"/>
          <w:sz w:val="22"/>
          <w:szCs w:val="22"/>
        </w:rPr>
      </w:pPr>
      <w:r>
        <w:rPr>
          <w:b w:val="0"/>
          <w:sz w:val="22"/>
          <w:szCs w:val="22"/>
        </w:rPr>
        <w:t xml:space="preserve">La función del aprovisionamiento.  La función de compras.  El papel de las compras en la estrategia empresarial.  Diseño de la gestión de compras.  Planificación del aprovisionamiento.  Tendencias estratégicas en compras y aprovisionamiento.  La integración y la desintegración vertical.  Decisiones </w:t>
      </w:r>
      <w:proofErr w:type="spellStart"/>
      <w:r w:rsidRPr="00D70ED1">
        <w:rPr>
          <w:b w:val="0"/>
          <w:i/>
          <w:sz w:val="22"/>
          <w:szCs w:val="22"/>
        </w:rPr>
        <w:t>Make</w:t>
      </w:r>
      <w:proofErr w:type="spellEnd"/>
      <w:r w:rsidRPr="00D70ED1">
        <w:rPr>
          <w:b w:val="0"/>
          <w:i/>
          <w:sz w:val="22"/>
          <w:szCs w:val="22"/>
        </w:rPr>
        <w:t xml:space="preserve"> </w:t>
      </w:r>
      <w:proofErr w:type="spellStart"/>
      <w:r w:rsidRPr="00D70ED1">
        <w:rPr>
          <w:b w:val="0"/>
          <w:i/>
          <w:sz w:val="22"/>
          <w:szCs w:val="22"/>
        </w:rPr>
        <w:t>or</w:t>
      </w:r>
      <w:proofErr w:type="spellEnd"/>
      <w:r w:rsidRPr="00D70ED1">
        <w:rPr>
          <w:b w:val="0"/>
          <w:i/>
          <w:sz w:val="22"/>
          <w:szCs w:val="22"/>
        </w:rPr>
        <w:t xml:space="preserve"> </w:t>
      </w:r>
      <w:proofErr w:type="spellStart"/>
      <w:r w:rsidRPr="00D70ED1">
        <w:rPr>
          <w:b w:val="0"/>
          <w:i/>
          <w:sz w:val="22"/>
          <w:szCs w:val="22"/>
        </w:rPr>
        <w:t>Buy</w:t>
      </w:r>
      <w:proofErr w:type="spellEnd"/>
      <w:r>
        <w:rPr>
          <w:b w:val="0"/>
          <w:sz w:val="22"/>
          <w:szCs w:val="22"/>
        </w:rPr>
        <w:t>.  Desarrollo del Pool de proveedores.  El aprovisionamiento y las compras electrónicas.</w:t>
      </w:r>
    </w:p>
    <w:p w:rsidR="00F738EB" w:rsidRDefault="00AE7C55" w:rsidP="00AE7C55">
      <w:pPr>
        <w:spacing w:after="120"/>
        <w:jc w:val="both"/>
        <w:rPr>
          <w:b w:val="0"/>
          <w:sz w:val="22"/>
          <w:szCs w:val="22"/>
        </w:rPr>
      </w:pPr>
      <w:r>
        <w:rPr>
          <w:b w:val="0"/>
          <w:sz w:val="22"/>
          <w:szCs w:val="22"/>
        </w:rPr>
        <w:t xml:space="preserve"> </w:t>
      </w:r>
    </w:p>
    <w:p w:rsidR="00D70ED1" w:rsidRPr="00D70ED1" w:rsidRDefault="00D70ED1" w:rsidP="00AE7C55">
      <w:pPr>
        <w:spacing w:after="120"/>
        <w:jc w:val="both"/>
        <w:rPr>
          <w:sz w:val="22"/>
          <w:szCs w:val="22"/>
        </w:rPr>
      </w:pPr>
      <w:r w:rsidRPr="00D70ED1">
        <w:rPr>
          <w:sz w:val="22"/>
          <w:szCs w:val="22"/>
        </w:rPr>
        <w:t>Unidad 3: Almacenaje.</w:t>
      </w:r>
    </w:p>
    <w:p w:rsidR="00D70ED1" w:rsidRDefault="00D70ED1" w:rsidP="00AE7C55">
      <w:pPr>
        <w:spacing w:after="120"/>
        <w:jc w:val="both"/>
        <w:rPr>
          <w:b w:val="0"/>
          <w:sz w:val="22"/>
          <w:szCs w:val="22"/>
        </w:rPr>
      </w:pPr>
      <w:r>
        <w:rPr>
          <w:b w:val="0"/>
          <w:sz w:val="22"/>
          <w:szCs w:val="22"/>
        </w:rPr>
        <w:t>Funciones de los almacenes.  Principios fundamentales de stocks para la gestión de almacenes.  Tipos de almacenes.  Actividades de los sistemas de almacenaje.  Zonas de los almacenes.  Flujos de materiales en un almacén.  Clasificación y ubicación de artículos.  Las instalaciones de almacenaje.</w:t>
      </w:r>
    </w:p>
    <w:p w:rsidR="00D70ED1" w:rsidRPr="00D70ED1" w:rsidRDefault="00D70ED1" w:rsidP="00AE7C55">
      <w:pPr>
        <w:spacing w:after="120"/>
        <w:jc w:val="both"/>
        <w:rPr>
          <w:sz w:val="22"/>
          <w:szCs w:val="22"/>
        </w:rPr>
      </w:pPr>
    </w:p>
    <w:p w:rsidR="00D70ED1" w:rsidRPr="00D70ED1" w:rsidRDefault="00D70ED1" w:rsidP="00AE7C55">
      <w:pPr>
        <w:spacing w:after="120"/>
        <w:jc w:val="both"/>
        <w:rPr>
          <w:sz w:val="22"/>
          <w:szCs w:val="22"/>
        </w:rPr>
      </w:pPr>
      <w:r w:rsidRPr="00D70ED1">
        <w:rPr>
          <w:sz w:val="22"/>
          <w:szCs w:val="22"/>
        </w:rPr>
        <w:t>Unidad 4: Logística del transporte y la Distribución.</w:t>
      </w:r>
    </w:p>
    <w:p w:rsidR="00D70ED1" w:rsidRDefault="0010638B" w:rsidP="00AE7C55">
      <w:pPr>
        <w:spacing w:after="120"/>
        <w:jc w:val="both"/>
        <w:rPr>
          <w:b w:val="0"/>
          <w:sz w:val="22"/>
          <w:szCs w:val="22"/>
        </w:rPr>
      </w:pPr>
      <w:r>
        <w:rPr>
          <w:b w:val="0"/>
          <w:sz w:val="22"/>
          <w:szCs w:val="22"/>
        </w:rPr>
        <w:t>Conceptos de distribución física y transporte.  Red de distribución.  Modelos de distribución comercial.  Localización de almacenes en la distribución.  Modos de transporte.  El transporte multimodal e intermodal.  Los operadores logísticos.  Tendencias en la gestión del transporte.  La logística inversa.</w:t>
      </w:r>
    </w:p>
    <w:p w:rsidR="0010638B" w:rsidRDefault="0010638B" w:rsidP="00AE7C55">
      <w:pPr>
        <w:spacing w:after="120"/>
        <w:jc w:val="both"/>
        <w:rPr>
          <w:b w:val="0"/>
          <w:sz w:val="22"/>
          <w:szCs w:val="22"/>
        </w:rPr>
      </w:pPr>
    </w:p>
    <w:p w:rsidR="0010638B" w:rsidRDefault="0010638B" w:rsidP="00AE7C55">
      <w:pPr>
        <w:spacing w:after="120"/>
        <w:jc w:val="both"/>
        <w:rPr>
          <w:b w:val="0"/>
          <w:sz w:val="22"/>
          <w:szCs w:val="22"/>
        </w:rPr>
      </w:pPr>
      <w:r w:rsidRPr="0010638B">
        <w:rPr>
          <w:sz w:val="22"/>
          <w:szCs w:val="22"/>
        </w:rPr>
        <w:t>Unidad 5: Logística del Comercio Internacional</w:t>
      </w:r>
      <w:r>
        <w:rPr>
          <w:b w:val="0"/>
          <w:sz w:val="22"/>
          <w:szCs w:val="22"/>
        </w:rPr>
        <w:t>.</w:t>
      </w:r>
    </w:p>
    <w:p w:rsidR="0010638B" w:rsidRDefault="0010638B" w:rsidP="00AE7C55">
      <w:pPr>
        <w:spacing w:after="120"/>
        <w:jc w:val="both"/>
        <w:rPr>
          <w:b w:val="0"/>
          <w:sz w:val="22"/>
          <w:szCs w:val="22"/>
        </w:rPr>
      </w:pPr>
      <w:r>
        <w:rPr>
          <w:b w:val="0"/>
          <w:sz w:val="22"/>
          <w:szCs w:val="22"/>
        </w:rPr>
        <w:t xml:space="preserve">Conceptos básicos de comercio exterior.  Fases de la internacionalización de la empresa.  Procedimientos de importación y exportación.  El transporte internacional.  Modalidad y operadores en el transporte internacional.  Condiciones </w:t>
      </w:r>
      <w:proofErr w:type="spellStart"/>
      <w:r>
        <w:rPr>
          <w:b w:val="0"/>
          <w:sz w:val="22"/>
          <w:szCs w:val="22"/>
        </w:rPr>
        <w:t>Incoterms</w:t>
      </w:r>
      <w:proofErr w:type="spellEnd"/>
      <w:r>
        <w:rPr>
          <w:b w:val="0"/>
          <w:sz w:val="22"/>
          <w:szCs w:val="22"/>
        </w:rPr>
        <w:t>.  Tarificación y condiciones de contratación del flete.  Cadena de precios de exportación. Plataformas logísticas.  Estrategias de operaciones globales.</w:t>
      </w:r>
    </w:p>
    <w:p w:rsidR="0010638B" w:rsidRDefault="0010638B" w:rsidP="00AE7C55">
      <w:pPr>
        <w:spacing w:after="120"/>
        <w:jc w:val="both"/>
        <w:rPr>
          <w:b w:val="0"/>
          <w:sz w:val="22"/>
          <w:szCs w:val="22"/>
        </w:rPr>
      </w:pPr>
    </w:p>
    <w:p w:rsidR="0010638B" w:rsidRPr="0010638B" w:rsidRDefault="0010638B" w:rsidP="00AE7C55">
      <w:pPr>
        <w:spacing w:after="120"/>
        <w:jc w:val="both"/>
        <w:rPr>
          <w:sz w:val="22"/>
          <w:szCs w:val="22"/>
        </w:rPr>
      </w:pPr>
      <w:r w:rsidRPr="0010638B">
        <w:rPr>
          <w:sz w:val="22"/>
          <w:szCs w:val="22"/>
        </w:rPr>
        <w:t>Unidad 6: Mantenimiento Industrial.</w:t>
      </w:r>
    </w:p>
    <w:p w:rsidR="0010638B" w:rsidRDefault="0010638B" w:rsidP="00AE7C55">
      <w:pPr>
        <w:spacing w:after="120"/>
        <w:jc w:val="both"/>
        <w:rPr>
          <w:b w:val="0"/>
          <w:sz w:val="22"/>
          <w:szCs w:val="22"/>
        </w:rPr>
      </w:pPr>
      <w:r>
        <w:rPr>
          <w:b w:val="0"/>
          <w:sz w:val="22"/>
          <w:szCs w:val="22"/>
        </w:rPr>
        <w:t>Concepto de mantenimiento y su evolución.  La función mantenimiento dentro del sistema empresarial.  Objetivos del mantenimiento.  Tipos, identificación y análisis de fallas.  Diagramas y métodos para detección de fallas y priorización de reparaciones.  La gestión del mantenimiento.  Impacto estratégico y de valor agregado de los procesos y los equipamientos.  Las principales pérdidas y la eficiencia de los equipamientos.  Indicadores de gestión del mantenimiento.  La planificación del mantenimiento.  Soportes informáticos para la gestión de mantenimiento.</w:t>
      </w:r>
    </w:p>
    <w:p w:rsidR="00C638D8" w:rsidRDefault="00C638D8" w:rsidP="00AE7C55">
      <w:pPr>
        <w:spacing w:after="120"/>
        <w:jc w:val="both"/>
        <w:rPr>
          <w:sz w:val="22"/>
          <w:szCs w:val="22"/>
        </w:rPr>
      </w:pPr>
    </w:p>
    <w:p w:rsidR="0010638B" w:rsidRPr="0010638B" w:rsidRDefault="0010638B" w:rsidP="00AE7C55">
      <w:pPr>
        <w:spacing w:after="120"/>
        <w:jc w:val="both"/>
        <w:rPr>
          <w:sz w:val="22"/>
          <w:szCs w:val="22"/>
        </w:rPr>
      </w:pPr>
      <w:r w:rsidRPr="0010638B">
        <w:rPr>
          <w:sz w:val="22"/>
          <w:szCs w:val="22"/>
        </w:rPr>
        <w:t>Unidad 7: Fiabilidad.</w:t>
      </w:r>
    </w:p>
    <w:p w:rsidR="0010638B" w:rsidRDefault="0010638B" w:rsidP="00AE7C55">
      <w:pPr>
        <w:spacing w:after="120"/>
        <w:jc w:val="both"/>
        <w:rPr>
          <w:b w:val="0"/>
          <w:sz w:val="22"/>
          <w:szCs w:val="22"/>
        </w:rPr>
      </w:pPr>
      <w:r>
        <w:rPr>
          <w:b w:val="0"/>
          <w:sz w:val="22"/>
          <w:szCs w:val="22"/>
        </w:rPr>
        <w:t xml:space="preserve">Conceptos de fiabilidad, mantenibilidad y disponibilidad. Fiabilidad e </w:t>
      </w:r>
      <w:proofErr w:type="spellStart"/>
      <w:r>
        <w:rPr>
          <w:b w:val="0"/>
          <w:sz w:val="22"/>
          <w:szCs w:val="22"/>
        </w:rPr>
        <w:t>infiabilidad</w:t>
      </w:r>
      <w:proofErr w:type="spellEnd"/>
      <w:r>
        <w:rPr>
          <w:b w:val="0"/>
          <w:sz w:val="22"/>
          <w:szCs w:val="22"/>
        </w:rPr>
        <w:t>. Tasas de fallo.  Ciclo de vida y vida útil de equipos. Curva Davies.  Modelos matemáticos para estimación de la fiabilidad. Soportes informáticos para cálculos de fiabilidad.</w:t>
      </w:r>
    </w:p>
    <w:p w:rsidR="00461E56" w:rsidRDefault="00461E56" w:rsidP="00AE7C55">
      <w:pPr>
        <w:spacing w:after="120"/>
        <w:jc w:val="both"/>
        <w:rPr>
          <w:b w:val="0"/>
          <w:sz w:val="22"/>
          <w:szCs w:val="22"/>
        </w:rPr>
      </w:pPr>
    </w:p>
    <w:p w:rsidR="0010638B" w:rsidRPr="00E3402F" w:rsidRDefault="00E3402F" w:rsidP="00AE7C55">
      <w:pPr>
        <w:spacing w:after="120"/>
        <w:jc w:val="both"/>
        <w:rPr>
          <w:sz w:val="22"/>
          <w:szCs w:val="22"/>
        </w:rPr>
      </w:pPr>
      <w:r w:rsidRPr="00E3402F">
        <w:rPr>
          <w:sz w:val="22"/>
          <w:szCs w:val="22"/>
        </w:rPr>
        <w:t>Un</w:t>
      </w:r>
      <w:r>
        <w:rPr>
          <w:sz w:val="22"/>
          <w:szCs w:val="22"/>
        </w:rPr>
        <w:t>idad 8: Tipos de Mantenimiento.</w:t>
      </w:r>
    </w:p>
    <w:p w:rsidR="00E3402F" w:rsidRDefault="00E3402F" w:rsidP="00AE7C55">
      <w:pPr>
        <w:spacing w:after="120"/>
        <w:jc w:val="both"/>
        <w:rPr>
          <w:b w:val="0"/>
          <w:sz w:val="22"/>
          <w:szCs w:val="22"/>
        </w:rPr>
      </w:pPr>
      <w:r>
        <w:rPr>
          <w:b w:val="0"/>
          <w:sz w:val="22"/>
          <w:szCs w:val="22"/>
        </w:rPr>
        <w:t>Mantenimiento correctivo o de averías.  Indicadores de gestión de la reparación de averías.  Mantenimiento modificativo.  Mantenimiento preventivo.  Mantenimiento predictivo.  Diversas técnicas, ensayos no destructivos y análisis predictivos.  Tipos de planes de mantenimiento. Costos del mantenimiento</w:t>
      </w:r>
      <w:r w:rsidRPr="00461E56">
        <w:rPr>
          <w:b w:val="0"/>
          <w:sz w:val="22"/>
          <w:szCs w:val="22"/>
        </w:rPr>
        <w:t>.</w:t>
      </w:r>
      <w:r w:rsidR="00C638D8" w:rsidRPr="00461E56">
        <w:rPr>
          <w:b w:val="0"/>
          <w:sz w:val="22"/>
          <w:szCs w:val="22"/>
        </w:rPr>
        <w:t xml:space="preserve"> Tribología.</w:t>
      </w:r>
    </w:p>
    <w:p w:rsidR="00E3402F" w:rsidRDefault="00E3402F" w:rsidP="00AE7C55">
      <w:pPr>
        <w:spacing w:after="120"/>
        <w:jc w:val="both"/>
        <w:rPr>
          <w:b w:val="0"/>
          <w:sz w:val="22"/>
          <w:szCs w:val="22"/>
        </w:rPr>
      </w:pPr>
    </w:p>
    <w:p w:rsidR="00E3402F" w:rsidRPr="00E3402F" w:rsidRDefault="00E3402F" w:rsidP="00AE7C55">
      <w:pPr>
        <w:spacing w:after="120"/>
        <w:jc w:val="both"/>
        <w:rPr>
          <w:sz w:val="22"/>
          <w:szCs w:val="22"/>
        </w:rPr>
      </w:pPr>
      <w:r w:rsidRPr="00E3402F">
        <w:rPr>
          <w:sz w:val="22"/>
          <w:szCs w:val="22"/>
        </w:rPr>
        <w:t>Unidad 9: Mantenimiento Productivo Total (TPM)</w:t>
      </w:r>
    </w:p>
    <w:p w:rsidR="00E3402F" w:rsidRDefault="00E3402F" w:rsidP="00AE7C55">
      <w:pPr>
        <w:spacing w:after="120"/>
        <w:jc w:val="both"/>
        <w:rPr>
          <w:b w:val="0"/>
          <w:sz w:val="22"/>
          <w:szCs w:val="22"/>
        </w:rPr>
      </w:pPr>
      <w:r>
        <w:rPr>
          <w:b w:val="0"/>
          <w:sz w:val="22"/>
          <w:szCs w:val="22"/>
        </w:rPr>
        <w:lastRenderedPageBreak/>
        <w:t>Introducción de mejoras en la producción.  El mantenimiento productivo total (TPM).  Pilares del  TPM. Puesta en marcha del TPM. El método de las 5 S.</w:t>
      </w:r>
      <w:r w:rsidR="00C638D8">
        <w:rPr>
          <w:b w:val="0"/>
          <w:sz w:val="22"/>
          <w:szCs w:val="22"/>
        </w:rPr>
        <w:t xml:space="preserve"> </w:t>
      </w:r>
      <w:r w:rsidR="00F20D98" w:rsidRPr="00461E56">
        <w:rPr>
          <w:b w:val="0"/>
          <w:sz w:val="22"/>
          <w:szCs w:val="22"/>
        </w:rPr>
        <w:t xml:space="preserve">Mejora continua. </w:t>
      </w:r>
      <w:r w:rsidR="00C638D8" w:rsidRPr="00461E56">
        <w:rPr>
          <w:b w:val="0"/>
          <w:sz w:val="22"/>
          <w:szCs w:val="22"/>
        </w:rPr>
        <w:t>Gestión de Activos.</w:t>
      </w:r>
    </w:p>
    <w:p w:rsidR="00E3402F" w:rsidRDefault="00E3402F" w:rsidP="00AE7C55">
      <w:pPr>
        <w:spacing w:after="120"/>
        <w:jc w:val="both"/>
        <w:rPr>
          <w:b w:val="0"/>
          <w:sz w:val="22"/>
          <w:szCs w:val="22"/>
        </w:rPr>
      </w:pPr>
    </w:p>
    <w:p w:rsidR="00E3402F" w:rsidRPr="00E3402F" w:rsidRDefault="00E3402F" w:rsidP="00AE7C55">
      <w:pPr>
        <w:spacing w:after="120"/>
        <w:jc w:val="both"/>
        <w:rPr>
          <w:sz w:val="22"/>
          <w:szCs w:val="22"/>
        </w:rPr>
      </w:pPr>
      <w:r w:rsidRPr="00E3402F">
        <w:rPr>
          <w:sz w:val="22"/>
          <w:szCs w:val="22"/>
        </w:rPr>
        <w:t>Unidad 10: Temas de Reciente aparición y tendencias en la Ingeniería Industrial.</w:t>
      </w:r>
    </w:p>
    <w:p w:rsidR="00E3402F" w:rsidRPr="00C42DED" w:rsidRDefault="00E3402F" w:rsidP="00C42DED">
      <w:pPr>
        <w:spacing w:after="120"/>
        <w:rPr>
          <w:b w:val="0"/>
          <w:sz w:val="22"/>
          <w:szCs w:val="22"/>
        </w:rPr>
      </w:pPr>
      <w:r>
        <w:rPr>
          <w:b w:val="0"/>
          <w:sz w:val="22"/>
          <w:szCs w:val="22"/>
        </w:rPr>
        <w:t>Esta unidad está dedicada al desarrollo de temas de actualidad de la Ingeniería Industrial y que sean de especial interés para la carrera, al momento de cada dictado de la asignatura.  Se incluyen: exposiciones teórico-prácticas, presentaciones de casos y aplicaciones sobre temas de reciente aparición en el ámbito profesional del ingeniero Industrial.  También incluye las tendencias en la Ingeniería Industrial y en el campo laboral.</w:t>
      </w:r>
      <w:r w:rsidR="00C42DED" w:rsidRPr="00C42DED">
        <w:rPr>
          <w:rFonts w:ascii="Times New Roman" w:hAnsi="Times New Roman" w:cs="Times New Roman"/>
          <w:b w:val="0"/>
          <w:sz w:val="24"/>
        </w:rPr>
        <w:t xml:space="preserve"> </w:t>
      </w:r>
      <w:r w:rsidR="00C42DED" w:rsidRPr="00C42DED">
        <w:rPr>
          <w:b w:val="0"/>
          <w:sz w:val="22"/>
          <w:szCs w:val="22"/>
        </w:rPr>
        <w:t>Industria 4.0 y la Digitalización</w:t>
      </w:r>
      <w:r w:rsidR="00C42DED">
        <w:rPr>
          <w:b w:val="0"/>
          <w:sz w:val="22"/>
          <w:szCs w:val="22"/>
        </w:rPr>
        <w:t>, Energías renovables y Eficiencia e</w:t>
      </w:r>
      <w:r w:rsidR="00C42DED" w:rsidRPr="00C42DED">
        <w:rPr>
          <w:b w:val="0"/>
          <w:sz w:val="22"/>
          <w:szCs w:val="22"/>
        </w:rPr>
        <w:t>nergética</w:t>
      </w:r>
      <w:r w:rsidR="00C42DED">
        <w:rPr>
          <w:b w:val="0"/>
          <w:sz w:val="22"/>
          <w:szCs w:val="22"/>
        </w:rPr>
        <w:t>, Ingeniería de d</w:t>
      </w:r>
      <w:r w:rsidR="00C42DED" w:rsidRPr="00C42DED">
        <w:rPr>
          <w:b w:val="0"/>
          <w:sz w:val="22"/>
          <w:szCs w:val="22"/>
        </w:rPr>
        <w:t xml:space="preserve">atos y </w:t>
      </w:r>
      <w:r w:rsidR="00C42DED">
        <w:rPr>
          <w:b w:val="0"/>
          <w:sz w:val="22"/>
          <w:szCs w:val="22"/>
        </w:rPr>
        <w:t>análisis p</w:t>
      </w:r>
      <w:r w:rsidR="00C42DED" w:rsidRPr="00C42DED">
        <w:rPr>
          <w:b w:val="0"/>
          <w:sz w:val="22"/>
          <w:szCs w:val="22"/>
        </w:rPr>
        <w:t>redictivo</w:t>
      </w:r>
      <w:r w:rsidR="00C42DED">
        <w:rPr>
          <w:b w:val="0"/>
          <w:sz w:val="22"/>
          <w:szCs w:val="22"/>
        </w:rPr>
        <w:t>, automatización y robótica a</w:t>
      </w:r>
      <w:r w:rsidR="00C42DED" w:rsidRPr="00C42DED">
        <w:rPr>
          <w:b w:val="0"/>
          <w:sz w:val="22"/>
          <w:szCs w:val="22"/>
        </w:rPr>
        <w:t>vanzada</w:t>
      </w:r>
      <w:r w:rsidR="00C42DED">
        <w:rPr>
          <w:b w:val="0"/>
          <w:sz w:val="22"/>
          <w:szCs w:val="22"/>
        </w:rPr>
        <w:t>, sostenibilidad y gestión a</w:t>
      </w:r>
      <w:r w:rsidR="00C42DED" w:rsidRPr="00C42DED">
        <w:rPr>
          <w:b w:val="0"/>
          <w:sz w:val="22"/>
          <w:szCs w:val="22"/>
        </w:rPr>
        <w:t>mbiental</w:t>
      </w:r>
      <w:r w:rsidR="00C42DED">
        <w:rPr>
          <w:b w:val="0"/>
          <w:sz w:val="22"/>
          <w:szCs w:val="22"/>
        </w:rPr>
        <w:t xml:space="preserve">, </w:t>
      </w:r>
      <w:r w:rsidR="00C42DED" w:rsidRPr="00C42DED">
        <w:rPr>
          <w:b w:val="0"/>
          <w:sz w:val="22"/>
          <w:szCs w:val="22"/>
        </w:rPr>
        <w:t>Internet de las Cosas (</w:t>
      </w:r>
      <w:proofErr w:type="spellStart"/>
      <w:r w:rsidR="00C42DED" w:rsidRPr="00C42DED">
        <w:rPr>
          <w:b w:val="0"/>
          <w:sz w:val="22"/>
          <w:szCs w:val="22"/>
        </w:rPr>
        <w:t>IoT</w:t>
      </w:r>
      <w:proofErr w:type="spellEnd"/>
      <w:r w:rsidR="00C42DED" w:rsidRPr="00C42DED">
        <w:rPr>
          <w:b w:val="0"/>
          <w:sz w:val="22"/>
          <w:szCs w:val="22"/>
        </w:rPr>
        <w:t>) e Internet de los Servicios (</w:t>
      </w:r>
      <w:proofErr w:type="spellStart"/>
      <w:r w:rsidR="00C42DED" w:rsidRPr="00C42DED">
        <w:rPr>
          <w:b w:val="0"/>
          <w:sz w:val="22"/>
          <w:szCs w:val="22"/>
        </w:rPr>
        <w:t>IoS</w:t>
      </w:r>
      <w:proofErr w:type="spellEnd"/>
      <w:r w:rsidR="00C42DED" w:rsidRPr="00C42DED">
        <w:rPr>
          <w:b w:val="0"/>
          <w:sz w:val="22"/>
          <w:szCs w:val="22"/>
        </w:rPr>
        <w:t>)</w:t>
      </w:r>
      <w:r w:rsidR="00C42DED">
        <w:rPr>
          <w:b w:val="0"/>
          <w:sz w:val="22"/>
          <w:szCs w:val="22"/>
        </w:rPr>
        <w:t xml:space="preserve">, </w:t>
      </w:r>
      <w:r w:rsidR="00C42DED" w:rsidRPr="00C42DED">
        <w:rPr>
          <w:b w:val="0"/>
          <w:sz w:val="22"/>
          <w:szCs w:val="22"/>
        </w:rPr>
        <w:t>Fábricas modulares</w:t>
      </w:r>
      <w:r w:rsidR="00C42DED">
        <w:rPr>
          <w:b w:val="0"/>
          <w:sz w:val="22"/>
          <w:szCs w:val="22"/>
        </w:rPr>
        <w:t xml:space="preserve">, </w:t>
      </w:r>
      <w:r w:rsidR="00C42DED" w:rsidRPr="00C42DED">
        <w:rPr>
          <w:b w:val="0"/>
          <w:sz w:val="22"/>
          <w:szCs w:val="22"/>
        </w:rPr>
        <w:t>Fabricación aditiva</w:t>
      </w:r>
      <w:r w:rsidR="00C42DED">
        <w:rPr>
          <w:b w:val="0"/>
          <w:sz w:val="22"/>
          <w:szCs w:val="22"/>
        </w:rPr>
        <w:t>, r</w:t>
      </w:r>
      <w:r w:rsidR="00C42DED" w:rsidRPr="00C42DED">
        <w:rPr>
          <w:b w:val="0"/>
          <w:sz w:val="22"/>
          <w:szCs w:val="22"/>
        </w:rPr>
        <w:t>obótica, </w:t>
      </w:r>
      <w:r w:rsidR="00C42DED">
        <w:rPr>
          <w:b w:val="0"/>
          <w:sz w:val="22"/>
          <w:szCs w:val="22"/>
        </w:rPr>
        <w:t>inteligencia artificial</w:t>
      </w:r>
      <w:r w:rsidR="00C42DED" w:rsidRPr="00C42DED">
        <w:rPr>
          <w:b w:val="0"/>
          <w:sz w:val="22"/>
          <w:szCs w:val="22"/>
        </w:rPr>
        <w:t> (IA), drones, impresión 3D y nanotecnología</w:t>
      </w:r>
      <w:r w:rsidR="00C42DED">
        <w:rPr>
          <w:b w:val="0"/>
          <w:sz w:val="22"/>
          <w:szCs w:val="22"/>
        </w:rPr>
        <w:t>.</w:t>
      </w:r>
    </w:p>
    <w:p w:rsidR="00AE7C55" w:rsidRDefault="00AE7C55" w:rsidP="00AE7C55">
      <w:pPr>
        <w:spacing w:after="120"/>
        <w:jc w:val="both"/>
        <w:rPr>
          <w:b w:val="0"/>
          <w:sz w:val="22"/>
          <w:szCs w:val="22"/>
        </w:rPr>
      </w:pPr>
    </w:p>
    <w:p w:rsidR="00DC75C2" w:rsidRPr="00367404" w:rsidRDefault="00DC75C2" w:rsidP="009F6346">
      <w:pPr>
        <w:spacing w:after="120"/>
        <w:jc w:val="both"/>
        <w:rPr>
          <w:sz w:val="22"/>
          <w:szCs w:val="22"/>
        </w:rPr>
      </w:pPr>
      <w:r w:rsidRPr="00367404">
        <w:rPr>
          <w:sz w:val="22"/>
          <w:szCs w:val="22"/>
        </w:rPr>
        <w:t>BIBLIOGRAFÍA Y OTRAS FUENTES DE INFORMACIÓN</w:t>
      </w:r>
    </w:p>
    <w:p w:rsidR="00D64899" w:rsidRDefault="00D64899" w:rsidP="009F6346">
      <w:pPr>
        <w:spacing w:after="120"/>
        <w:jc w:val="both"/>
        <w:rPr>
          <w:b w:val="0"/>
          <w:sz w:val="22"/>
          <w:szCs w:val="22"/>
        </w:rPr>
      </w:pP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ANAYA TEJERO, Julio J. Logística integral: La gestión operativa de la empresa. </w:t>
      </w:r>
      <w:r w:rsidRPr="00367404">
        <w:rPr>
          <w:rFonts w:cs="Arial"/>
          <w:b w:val="0"/>
          <w:color w:val="000000" w:themeColor="text1"/>
          <w:kern w:val="24"/>
          <w:sz w:val="22"/>
          <w:szCs w:val="22"/>
        </w:rPr>
        <w:t>ESIC Editorial, 2011.</w:t>
      </w: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BALLOU, Ronald. Logística. Administración de la cadena de suministro. </w:t>
      </w:r>
      <w:r w:rsidRPr="00367404">
        <w:rPr>
          <w:rFonts w:cs="Arial"/>
          <w:b w:val="0"/>
          <w:color w:val="000000" w:themeColor="text1"/>
          <w:kern w:val="24"/>
          <w:sz w:val="22"/>
          <w:szCs w:val="22"/>
        </w:rPr>
        <w:t>5° Edición. Editorial Pearson Educación, 2004.</w:t>
      </w: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CHASE, Richard; JACOBS, F.R; AQUILANO, N.J; MATUS, R.T; MONTUFAR B; MUÑOZ, H. &amp; HERNANDEZ, M.E. Administración de operaciones: Producción y cadena de suministros. </w:t>
      </w:r>
      <w:r w:rsidRPr="00367404">
        <w:rPr>
          <w:rFonts w:cs="Arial"/>
          <w:b w:val="0"/>
          <w:color w:val="000000" w:themeColor="text1"/>
          <w:kern w:val="24"/>
          <w:sz w:val="22"/>
          <w:szCs w:val="22"/>
        </w:rPr>
        <w:t>12° Edición. Editorial McGraw-Hill, 2009.</w:t>
      </w: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GARCÍA GARRIDO, Santiago. Organización y gestión integral de mantenimiento. </w:t>
      </w:r>
      <w:r w:rsidRPr="00367404">
        <w:rPr>
          <w:rFonts w:cs="Arial"/>
          <w:b w:val="0"/>
          <w:color w:val="000000" w:themeColor="text1"/>
          <w:kern w:val="24"/>
          <w:sz w:val="22"/>
          <w:szCs w:val="22"/>
        </w:rPr>
        <w:t>Editorial Díaz de Santos, SA, 2010.</w:t>
      </w: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GARCÍA GARRIDO, Santiago. La contratación del mantenimiento industrial: Procesos de externalización, contratos y empresas de mantenimiento</w:t>
      </w:r>
      <w:r w:rsidRPr="00367404">
        <w:rPr>
          <w:rFonts w:cs="Arial"/>
          <w:b w:val="0"/>
          <w:color w:val="000000" w:themeColor="text1"/>
          <w:kern w:val="24"/>
          <w:sz w:val="22"/>
          <w:szCs w:val="22"/>
        </w:rPr>
        <w:t>. Editorial Díaz de Santos, SA, 2011.</w:t>
      </w: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GONZALEZ, Raimundo. Mantenimiento industrial: organización, gestión y control. </w:t>
      </w:r>
      <w:r w:rsidRPr="00367404">
        <w:rPr>
          <w:rFonts w:cs="Arial"/>
          <w:b w:val="0"/>
          <w:color w:val="000000" w:themeColor="text1"/>
          <w:kern w:val="24"/>
          <w:sz w:val="22"/>
          <w:szCs w:val="22"/>
        </w:rPr>
        <w:t>Editorial Alsina, 1984.</w:t>
      </w: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LERNA KIRRCHNER, Alejandro; CASTRO, Enrique. Comercio y marketing internacional</w:t>
      </w:r>
      <w:r w:rsidRPr="00367404">
        <w:rPr>
          <w:rFonts w:cs="Arial"/>
          <w:b w:val="0"/>
          <w:color w:val="000000" w:themeColor="text1"/>
          <w:kern w:val="24"/>
          <w:sz w:val="22"/>
          <w:szCs w:val="22"/>
        </w:rPr>
        <w:t xml:space="preserve">. Editorial </w:t>
      </w:r>
      <w:proofErr w:type="spellStart"/>
      <w:r w:rsidRPr="00367404">
        <w:rPr>
          <w:rFonts w:cs="Arial"/>
          <w:b w:val="0"/>
          <w:color w:val="000000" w:themeColor="text1"/>
          <w:kern w:val="24"/>
          <w:sz w:val="22"/>
          <w:szCs w:val="22"/>
        </w:rPr>
        <w:t>Cengage</w:t>
      </w:r>
      <w:proofErr w:type="spellEnd"/>
      <w:r w:rsidRPr="00367404">
        <w:rPr>
          <w:rFonts w:cs="Arial"/>
          <w:b w:val="0"/>
          <w:color w:val="000000" w:themeColor="text1"/>
          <w:kern w:val="24"/>
          <w:sz w:val="22"/>
          <w:szCs w:val="22"/>
        </w:rPr>
        <w:t xml:space="preserve"> </w:t>
      </w:r>
      <w:proofErr w:type="spellStart"/>
      <w:r w:rsidRPr="00367404">
        <w:rPr>
          <w:rFonts w:cs="Arial"/>
          <w:b w:val="0"/>
          <w:color w:val="000000" w:themeColor="text1"/>
          <w:kern w:val="24"/>
          <w:sz w:val="22"/>
          <w:szCs w:val="22"/>
        </w:rPr>
        <w:t>Learning</w:t>
      </w:r>
      <w:proofErr w:type="spellEnd"/>
      <w:r w:rsidRPr="00367404">
        <w:rPr>
          <w:rFonts w:cs="Arial"/>
          <w:b w:val="0"/>
          <w:color w:val="000000" w:themeColor="text1"/>
          <w:kern w:val="24"/>
          <w:sz w:val="22"/>
          <w:szCs w:val="22"/>
        </w:rPr>
        <w:t xml:space="preserve"> Editores, 2010. </w:t>
      </w: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lastRenderedPageBreak/>
        <w:t xml:space="preserve">LERNA KIRRCHNER, Alejandro. Comercio y mercadotecnia internacional. Metodología para la formulación de estudios de competitividad empresarial. </w:t>
      </w:r>
      <w:r w:rsidRPr="00367404">
        <w:rPr>
          <w:rFonts w:cs="Arial"/>
          <w:b w:val="0"/>
          <w:color w:val="000000" w:themeColor="text1"/>
          <w:kern w:val="24"/>
          <w:sz w:val="22"/>
          <w:szCs w:val="22"/>
        </w:rPr>
        <w:t xml:space="preserve">Editorial </w:t>
      </w:r>
      <w:proofErr w:type="spellStart"/>
      <w:r w:rsidRPr="00367404">
        <w:rPr>
          <w:rFonts w:cs="Arial"/>
          <w:b w:val="0"/>
          <w:color w:val="000000" w:themeColor="text1"/>
          <w:kern w:val="24"/>
          <w:sz w:val="22"/>
          <w:szCs w:val="22"/>
        </w:rPr>
        <w:t>Cengage</w:t>
      </w:r>
      <w:proofErr w:type="spellEnd"/>
      <w:r w:rsidRPr="00367404">
        <w:rPr>
          <w:rFonts w:cs="Arial"/>
          <w:b w:val="0"/>
          <w:color w:val="000000" w:themeColor="text1"/>
          <w:kern w:val="24"/>
          <w:sz w:val="22"/>
          <w:szCs w:val="22"/>
        </w:rPr>
        <w:t xml:space="preserve"> </w:t>
      </w:r>
      <w:proofErr w:type="spellStart"/>
      <w:r w:rsidRPr="00367404">
        <w:rPr>
          <w:rFonts w:cs="Arial"/>
          <w:b w:val="0"/>
          <w:color w:val="000000" w:themeColor="text1"/>
          <w:kern w:val="24"/>
          <w:sz w:val="22"/>
          <w:szCs w:val="22"/>
        </w:rPr>
        <w:t>Learning</w:t>
      </w:r>
      <w:proofErr w:type="spellEnd"/>
      <w:r w:rsidRPr="00367404">
        <w:rPr>
          <w:rFonts w:cs="Arial"/>
          <w:b w:val="0"/>
          <w:color w:val="000000" w:themeColor="text1"/>
          <w:kern w:val="24"/>
          <w:sz w:val="22"/>
          <w:szCs w:val="22"/>
        </w:rPr>
        <w:t xml:space="preserve"> Editores, 2004.</w:t>
      </w:r>
    </w:p>
    <w:p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MOULEON TORRES, Mikel. Sistemas de almacenaje y </w:t>
      </w:r>
      <w:proofErr w:type="spellStart"/>
      <w:r w:rsidRPr="00367404">
        <w:rPr>
          <w:rFonts w:cs="Arial"/>
          <w:b w:val="0"/>
          <w:bCs/>
          <w:color w:val="000000" w:themeColor="text1"/>
          <w:kern w:val="24"/>
          <w:sz w:val="22"/>
          <w:szCs w:val="22"/>
        </w:rPr>
        <w:t>picking</w:t>
      </w:r>
      <w:proofErr w:type="spellEnd"/>
      <w:r w:rsidRPr="00367404">
        <w:rPr>
          <w:rFonts w:cs="Arial"/>
          <w:b w:val="0"/>
          <w:bCs/>
          <w:color w:val="000000" w:themeColor="text1"/>
          <w:kern w:val="24"/>
          <w:sz w:val="22"/>
          <w:szCs w:val="22"/>
        </w:rPr>
        <w:t xml:space="preserve">. </w:t>
      </w:r>
      <w:r w:rsidRPr="00367404">
        <w:rPr>
          <w:rFonts w:cs="Arial"/>
          <w:b w:val="0"/>
          <w:color w:val="000000" w:themeColor="text1"/>
          <w:kern w:val="24"/>
          <w:sz w:val="22"/>
          <w:szCs w:val="22"/>
        </w:rPr>
        <w:t>Editorial Díaz de Santos, 2003.</w:t>
      </w:r>
    </w:p>
    <w:p w:rsidR="00D64899" w:rsidRPr="00367404" w:rsidRDefault="00367404" w:rsidP="00367404">
      <w:pPr>
        <w:spacing w:after="120"/>
        <w:jc w:val="both"/>
        <w:rPr>
          <w:rFonts w:cs="Arial"/>
          <w:b w:val="0"/>
          <w:sz w:val="22"/>
          <w:szCs w:val="22"/>
        </w:rPr>
      </w:pPr>
      <w:r w:rsidRPr="00367404">
        <w:rPr>
          <w:rFonts w:cs="Arial"/>
          <w:b w:val="0"/>
          <w:bCs/>
          <w:color w:val="000000" w:themeColor="text1"/>
          <w:kern w:val="24"/>
          <w:sz w:val="22"/>
          <w:szCs w:val="22"/>
        </w:rPr>
        <w:t xml:space="preserve">PAZ, Hugo. Canales de distribución. Gestión comercial y Logística. </w:t>
      </w:r>
      <w:r w:rsidRPr="00367404">
        <w:rPr>
          <w:rFonts w:cs="Arial"/>
          <w:b w:val="0"/>
          <w:color w:val="000000" w:themeColor="text1"/>
          <w:kern w:val="24"/>
          <w:sz w:val="22"/>
          <w:szCs w:val="22"/>
        </w:rPr>
        <w:t xml:space="preserve">Editorial </w:t>
      </w:r>
      <w:proofErr w:type="spellStart"/>
      <w:r w:rsidRPr="00367404">
        <w:rPr>
          <w:rFonts w:cs="Arial"/>
          <w:b w:val="0"/>
          <w:color w:val="000000" w:themeColor="text1"/>
          <w:kern w:val="24"/>
          <w:sz w:val="22"/>
          <w:szCs w:val="22"/>
        </w:rPr>
        <w:t>Lectorum</w:t>
      </w:r>
      <w:proofErr w:type="spellEnd"/>
      <w:r w:rsidRPr="00367404">
        <w:rPr>
          <w:rFonts w:cs="Arial"/>
          <w:b w:val="0"/>
          <w:color w:val="000000" w:themeColor="text1"/>
          <w:kern w:val="24"/>
          <w:sz w:val="22"/>
          <w:szCs w:val="22"/>
        </w:rPr>
        <w:t xml:space="preserve"> </w:t>
      </w:r>
      <w:proofErr w:type="spellStart"/>
      <w:r w:rsidRPr="00367404">
        <w:rPr>
          <w:rFonts w:cs="Arial"/>
          <w:b w:val="0"/>
          <w:color w:val="000000" w:themeColor="text1"/>
          <w:kern w:val="24"/>
          <w:sz w:val="22"/>
          <w:szCs w:val="22"/>
        </w:rPr>
        <w:t>Ugerman</w:t>
      </w:r>
      <w:proofErr w:type="spellEnd"/>
      <w:r w:rsidRPr="00367404">
        <w:rPr>
          <w:rFonts w:cs="Arial"/>
          <w:b w:val="0"/>
          <w:color w:val="000000" w:themeColor="text1"/>
          <w:kern w:val="24"/>
          <w:sz w:val="22"/>
          <w:szCs w:val="22"/>
        </w:rPr>
        <w:t>, 2008.</w:t>
      </w:r>
    </w:p>
    <w:p w:rsidR="00D64899" w:rsidRDefault="00D64899" w:rsidP="009F6346">
      <w:pPr>
        <w:spacing w:after="120"/>
        <w:jc w:val="both"/>
        <w:rPr>
          <w:b w:val="0"/>
          <w:sz w:val="22"/>
          <w:szCs w:val="22"/>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367404" w:rsidRDefault="00367404" w:rsidP="00013EC7">
      <w:pPr>
        <w:spacing w:after="120"/>
        <w:jc w:val="center"/>
        <w:rPr>
          <w:sz w:val="22"/>
          <w:szCs w:val="22"/>
          <w:u w:val="single"/>
        </w:rPr>
      </w:pPr>
    </w:p>
    <w:p w:rsidR="007B242D" w:rsidRDefault="007B242D" w:rsidP="00013EC7">
      <w:pPr>
        <w:spacing w:after="120"/>
        <w:jc w:val="center"/>
        <w:rPr>
          <w:sz w:val="22"/>
          <w:szCs w:val="22"/>
          <w:u w:val="single"/>
        </w:rPr>
      </w:pPr>
      <w:bookmarkStart w:id="0" w:name="_GoBack"/>
      <w:bookmarkEnd w:id="0"/>
    </w:p>
    <w:sectPr w:rsidR="007B242D" w:rsidSect="00F738EB">
      <w:headerReference w:type="default" r:id="rId9"/>
      <w:pgSz w:w="12240" w:h="15840"/>
      <w:pgMar w:top="1701"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B6" w:rsidRDefault="008174B6" w:rsidP="003C4477">
      <w:pPr>
        <w:spacing w:after="0" w:line="240" w:lineRule="auto"/>
      </w:pPr>
      <w:r>
        <w:separator/>
      </w:r>
    </w:p>
  </w:endnote>
  <w:endnote w:type="continuationSeparator" w:id="0">
    <w:p w:rsidR="008174B6" w:rsidRDefault="008174B6" w:rsidP="003C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B6" w:rsidRDefault="008174B6" w:rsidP="003C4477">
      <w:pPr>
        <w:spacing w:after="0" w:line="240" w:lineRule="auto"/>
      </w:pPr>
      <w:r>
        <w:separator/>
      </w:r>
    </w:p>
  </w:footnote>
  <w:footnote w:type="continuationSeparator" w:id="0">
    <w:p w:rsidR="008174B6" w:rsidRDefault="008174B6" w:rsidP="003C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C3" w:rsidRDefault="004758C3">
    <w:pPr>
      <w:pStyle w:val="Encabezado"/>
    </w:pPr>
    <w:r>
      <w:t xml:space="preserve">                                                 </w:t>
    </w:r>
    <w:r w:rsidR="00DB09F2" w:rsidRPr="00DB09F2">
      <w:rPr>
        <w:noProof/>
      </w:rPr>
      <w:drawing>
        <wp:inline distT="0" distB="0" distL="0" distR="0" wp14:anchorId="097E968E" wp14:editId="5862825A">
          <wp:extent cx="5850890" cy="920115"/>
          <wp:effectExtent l="0" t="0" r="0" b="0"/>
          <wp:docPr id="15196815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659571283"/>
                  <pic:cNvPicPr>
                    <a:picLocks noChangeAspect="1" noChangeArrowheads="1"/>
                  </pic:cNvPicPr>
                </pic:nvPicPr>
                <pic:blipFill>
                  <a:blip r:embed="rId1">
                    <a:extLst>
                      <a:ext uri="{28A0092B-C50C-407E-A947-70E740481C1C}">
                        <a14:useLocalDpi xmlns:a14="http://schemas.microsoft.com/office/drawing/2010/main" val="0"/>
                      </a:ext>
                    </a:extLst>
                  </a:blip>
                  <a:srcRect l="2524" t="809" r="3761" b="88818"/>
                  <a:stretch>
                    <a:fillRect/>
                  </a:stretch>
                </pic:blipFill>
                <pic:spPr bwMode="auto">
                  <a:xfrm>
                    <a:off x="0" y="0"/>
                    <a:ext cx="5850890" cy="9201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25FB"/>
    <w:multiLevelType w:val="hybridMultilevel"/>
    <w:tmpl w:val="AA0AF0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4C61936"/>
    <w:multiLevelType w:val="hybridMultilevel"/>
    <w:tmpl w:val="B972E9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0554CA8"/>
    <w:multiLevelType w:val="hybridMultilevel"/>
    <w:tmpl w:val="D2801E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6E17275"/>
    <w:multiLevelType w:val="hybridMultilevel"/>
    <w:tmpl w:val="62FE2A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1309E9"/>
    <w:multiLevelType w:val="hybridMultilevel"/>
    <w:tmpl w:val="A930349C"/>
    <w:lvl w:ilvl="0" w:tplc="9F2E1BF8">
      <w:start w:val="1"/>
      <w:numFmt w:val="bullet"/>
      <w:lvlText w:val=""/>
      <w:lvlJc w:val="left"/>
      <w:pPr>
        <w:tabs>
          <w:tab w:val="num" w:pos="720"/>
        </w:tabs>
        <w:ind w:left="720" w:hanging="360"/>
      </w:pPr>
      <w:rPr>
        <w:rFonts w:ascii="Wingdings" w:hAnsi="Wingdings" w:hint="default"/>
      </w:rPr>
    </w:lvl>
    <w:lvl w:ilvl="1" w:tplc="65003E12" w:tentative="1">
      <w:start w:val="1"/>
      <w:numFmt w:val="bullet"/>
      <w:lvlText w:val=""/>
      <w:lvlJc w:val="left"/>
      <w:pPr>
        <w:tabs>
          <w:tab w:val="num" w:pos="1440"/>
        </w:tabs>
        <w:ind w:left="1440" w:hanging="360"/>
      </w:pPr>
      <w:rPr>
        <w:rFonts w:ascii="Wingdings" w:hAnsi="Wingdings" w:hint="default"/>
      </w:rPr>
    </w:lvl>
    <w:lvl w:ilvl="2" w:tplc="C3262CC2" w:tentative="1">
      <w:start w:val="1"/>
      <w:numFmt w:val="bullet"/>
      <w:lvlText w:val=""/>
      <w:lvlJc w:val="left"/>
      <w:pPr>
        <w:tabs>
          <w:tab w:val="num" w:pos="2160"/>
        </w:tabs>
        <w:ind w:left="2160" w:hanging="360"/>
      </w:pPr>
      <w:rPr>
        <w:rFonts w:ascii="Wingdings" w:hAnsi="Wingdings" w:hint="default"/>
      </w:rPr>
    </w:lvl>
    <w:lvl w:ilvl="3" w:tplc="52084D18" w:tentative="1">
      <w:start w:val="1"/>
      <w:numFmt w:val="bullet"/>
      <w:lvlText w:val=""/>
      <w:lvlJc w:val="left"/>
      <w:pPr>
        <w:tabs>
          <w:tab w:val="num" w:pos="2880"/>
        </w:tabs>
        <w:ind w:left="2880" w:hanging="360"/>
      </w:pPr>
      <w:rPr>
        <w:rFonts w:ascii="Wingdings" w:hAnsi="Wingdings" w:hint="default"/>
      </w:rPr>
    </w:lvl>
    <w:lvl w:ilvl="4" w:tplc="005E5ED8" w:tentative="1">
      <w:start w:val="1"/>
      <w:numFmt w:val="bullet"/>
      <w:lvlText w:val=""/>
      <w:lvlJc w:val="left"/>
      <w:pPr>
        <w:tabs>
          <w:tab w:val="num" w:pos="3600"/>
        </w:tabs>
        <w:ind w:left="3600" w:hanging="360"/>
      </w:pPr>
      <w:rPr>
        <w:rFonts w:ascii="Wingdings" w:hAnsi="Wingdings" w:hint="default"/>
      </w:rPr>
    </w:lvl>
    <w:lvl w:ilvl="5" w:tplc="0C4E74B6" w:tentative="1">
      <w:start w:val="1"/>
      <w:numFmt w:val="bullet"/>
      <w:lvlText w:val=""/>
      <w:lvlJc w:val="left"/>
      <w:pPr>
        <w:tabs>
          <w:tab w:val="num" w:pos="4320"/>
        </w:tabs>
        <w:ind w:left="4320" w:hanging="360"/>
      </w:pPr>
      <w:rPr>
        <w:rFonts w:ascii="Wingdings" w:hAnsi="Wingdings" w:hint="default"/>
      </w:rPr>
    </w:lvl>
    <w:lvl w:ilvl="6" w:tplc="CA6AE4C2" w:tentative="1">
      <w:start w:val="1"/>
      <w:numFmt w:val="bullet"/>
      <w:lvlText w:val=""/>
      <w:lvlJc w:val="left"/>
      <w:pPr>
        <w:tabs>
          <w:tab w:val="num" w:pos="5040"/>
        </w:tabs>
        <w:ind w:left="5040" w:hanging="360"/>
      </w:pPr>
      <w:rPr>
        <w:rFonts w:ascii="Wingdings" w:hAnsi="Wingdings" w:hint="default"/>
      </w:rPr>
    </w:lvl>
    <w:lvl w:ilvl="7" w:tplc="7C6A534C" w:tentative="1">
      <w:start w:val="1"/>
      <w:numFmt w:val="bullet"/>
      <w:lvlText w:val=""/>
      <w:lvlJc w:val="left"/>
      <w:pPr>
        <w:tabs>
          <w:tab w:val="num" w:pos="5760"/>
        </w:tabs>
        <w:ind w:left="5760" w:hanging="360"/>
      </w:pPr>
      <w:rPr>
        <w:rFonts w:ascii="Wingdings" w:hAnsi="Wingdings" w:hint="default"/>
      </w:rPr>
    </w:lvl>
    <w:lvl w:ilvl="8" w:tplc="F2CC46E4" w:tentative="1">
      <w:start w:val="1"/>
      <w:numFmt w:val="bullet"/>
      <w:lvlText w:val=""/>
      <w:lvlJc w:val="left"/>
      <w:pPr>
        <w:tabs>
          <w:tab w:val="num" w:pos="6480"/>
        </w:tabs>
        <w:ind w:left="6480" w:hanging="360"/>
      </w:pPr>
      <w:rPr>
        <w:rFonts w:ascii="Wingdings" w:hAnsi="Wingdings" w:hint="default"/>
      </w:rPr>
    </w:lvl>
  </w:abstractNum>
  <w:abstractNum w:abstractNumId="5">
    <w:nsid w:val="524A2EBD"/>
    <w:multiLevelType w:val="hybridMultilevel"/>
    <w:tmpl w:val="EB7A55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3633937"/>
    <w:multiLevelType w:val="hybridMultilevel"/>
    <w:tmpl w:val="514ADB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ED15F5"/>
    <w:multiLevelType w:val="hybridMultilevel"/>
    <w:tmpl w:val="FC0018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EB"/>
    <w:rsid w:val="000026D0"/>
    <w:rsid w:val="00013EC7"/>
    <w:rsid w:val="00034B0F"/>
    <w:rsid w:val="000E61A1"/>
    <w:rsid w:val="0010638B"/>
    <w:rsid w:val="00172BDA"/>
    <w:rsid w:val="0018269D"/>
    <w:rsid w:val="00182E84"/>
    <w:rsid w:val="001A2312"/>
    <w:rsid w:val="001A3FEF"/>
    <w:rsid w:val="001B2E15"/>
    <w:rsid w:val="002404EC"/>
    <w:rsid w:val="002E024B"/>
    <w:rsid w:val="002F1DBB"/>
    <w:rsid w:val="00367404"/>
    <w:rsid w:val="003910E8"/>
    <w:rsid w:val="003B79E7"/>
    <w:rsid w:val="003C4477"/>
    <w:rsid w:val="003C49A2"/>
    <w:rsid w:val="003D3236"/>
    <w:rsid w:val="004003CF"/>
    <w:rsid w:val="004409B8"/>
    <w:rsid w:val="00461E56"/>
    <w:rsid w:val="004758C3"/>
    <w:rsid w:val="00482D45"/>
    <w:rsid w:val="00502F62"/>
    <w:rsid w:val="005055D3"/>
    <w:rsid w:val="00514BB3"/>
    <w:rsid w:val="00532A36"/>
    <w:rsid w:val="00573947"/>
    <w:rsid w:val="00592780"/>
    <w:rsid w:val="00596DC4"/>
    <w:rsid w:val="00624C8F"/>
    <w:rsid w:val="00646272"/>
    <w:rsid w:val="006705F2"/>
    <w:rsid w:val="006A1A37"/>
    <w:rsid w:val="006D665E"/>
    <w:rsid w:val="006F42F4"/>
    <w:rsid w:val="00726523"/>
    <w:rsid w:val="007510CA"/>
    <w:rsid w:val="007872F2"/>
    <w:rsid w:val="007B242D"/>
    <w:rsid w:val="0080797F"/>
    <w:rsid w:val="008174B6"/>
    <w:rsid w:val="0087320B"/>
    <w:rsid w:val="008E0BFF"/>
    <w:rsid w:val="008F7ACE"/>
    <w:rsid w:val="009515A0"/>
    <w:rsid w:val="00992017"/>
    <w:rsid w:val="009A0D26"/>
    <w:rsid w:val="009B414C"/>
    <w:rsid w:val="009C0BBA"/>
    <w:rsid w:val="009E5F4F"/>
    <w:rsid w:val="009F6346"/>
    <w:rsid w:val="00A37966"/>
    <w:rsid w:val="00A40343"/>
    <w:rsid w:val="00AE7C55"/>
    <w:rsid w:val="00B07613"/>
    <w:rsid w:val="00B20AB8"/>
    <w:rsid w:val="00B76C93"/>
    <w:rsid w:val="00BB6384"/>
    <w:rsid w:val="00C27E89"/>
    <w:rsid w:val="00C42DED"/>
    <w:rsid w:val="00C638D8"/>
    <w:rsid w:val="00C84164"/>
    <w:rsid w:val="00D1425B"/>
    <w:rsid w:val="00D15A05"/>
    <w:rsid w:val="00D3773E"/>
    <w:rsid w:val="00D64899"/>
    <w:rsid w:val="00D70ED1"/>
    <w:rsid w:val="00D755B5"/>
    <w:rsid w:val="00D915A0"/>
    <w:rsid w:val="00DB09F2"/>
    <w:rsid w:val="00DC75C2"/>
    <w:rsid w:val="00E3402F"/>
    <w:rsid w:val="00E35BBE"/>
    <w:rsid w:val="00E7543A"/>
    <w:rsid w:val="00E91C2E"/>
    <w:rsid w:val="00EB4CD7"/>
    <w:rsid w:val="00EF6FFA"/>
    <w:rsid w:val="00F20D98"/>
    <w:rsid w:val="00F34F07"/>
    <w:rsid w:val="00F647D5"/>
    <w:rsid w:val="00F738EB"/>
    <w:rsid w:val="00FA7105"/>
    <w:rsid w:val="00FB7247"/>
    <w:rsid w:val="00FE6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b/>
        <w:sz w:val="40"/>
        <w:szCs w:val="24"/>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5A0"/>
    <w:pPr>
      <w:ind w:left="720"/>
      <w:contextualSpacing/>
    </w:pPr>
  </w:style>
  <w:style w:type="paragraph" w:styleId="Encabezado">
    <w:name w:val="header"/>
    <w:basedOn w:val="Normal"/>
    <w:link w:val="EncabezadoCar"/>
    <w:uiPriority w:val="99"/>
    <w:unhideWhenUsed/>
    <w:rsid w:val="003C44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477"/>
    <w:rPr>
      <w:rFonts w:eastAsiaTheme="minorEastAsia"/>
      <w:lang w:eastAsia="es-AR"/>
    </w:rPr>
  </w:style>
  <w:style w:type="paragraph" w:styleId="Piedepgina">
    <w:name w:val="footer"/>
    <w:basedOn w:val="Normal"/>
    <w:link w:val="PiedepginaCar"/>
    <w:uiPriority w:val="99"/>
    <w:unhideWhenUsed/>
    <w:rsid w:val="003C44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477"/>
    <w:rPr>
      <w:rFonts w:eastAsiaTheme="minorEastAsia"/>
      <w:lang w:eastAsia="es-AR"/>
    </w:rPr>
  </w:style>
  <w:style w:type="paragraph" w:styleId="Textodeglobo">
    <w:name w:val="Balloon Text"/>
    <w:basedOn w:val="Normal"/>
    <w:link w:val="TextodegloboCar"/>
    <w:uiPriority w:val="99"/>
    <w:semiHidden/>
    <w:unhideWhenUsed/>
    <w:rsid w:val="003C44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477"/>
    <w:rPr>
      <w:rFonts w:ascii="Tahoma" w:eastAsiaTheme="minorEastAsia" w:hAnsi="Tahoma" w:cs="Tahoma"/>
      <w:sz w:val="16"/>
      <w:szCs w:val="16"/>
      <w:lang w:eastAsia="es-AR"/>
    </w:rPr>
  </w:style>
  <w:style w:type="table" w:styleId="Tablaconcuadrcula">
    <w:name w:val="Table Grid"/>
    <w:basedOn w:val="Tablanormal"/>
    <w:uiPriority w:val="59"/>
    <w:rsid w:val="000E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0E61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basedOn w:val="Fuentedeprrafopredeter"/>
    <w:uiPriority w:val="99"/>
    <w:unhideWhenUsed/>
    <w:rsid w:val="00C42D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b/>
        <w:sz w:val="40"/>
        <w:szCs w:val="24"/>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5A0"/>
    <w:pPr>
      <w:ind w:left="720"/>
      <w:contextualSpacing/>
    </w:pPr>
  </w:style>
  <w:style w:type="paragraph" w:styleId="Encabezado">
    <w:name w:val="header"/>
    <w:basedOn w:val="Normal"/>
    <w:link w:val="EncabezadoCar"/>
    <w:uiPriority w:val="99"/>
    <w:unhideWhenUsed/>
    <w:rsid w:val="003C44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477"/>
    <w:rPr>
      <w:rFonts w:eastAsiaTheme="minorEastAsia"/>
      <w:lang w:eastAsia="es-AR"/>
    </w:rPr>
  </w:style>
  <w:style w:type="paragraph" w:styleId="Piedepgina">
    <w:name w:val="footer"/>
    <w:basedOn w:val="Normal"/>
    <w:link w:val="PiedepginaCar"/>
    <w:uiPriority w:val="99"/>
    <w:unhideWhenUsed/>
    <w:rsid w:val="003C44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477"/>
    <w:rPr>
      <w:rFonts w:eastAsiaTheme="minorEastAsia"/>
      <w:lang w:eastAsia="es-AR"/>
    </w:rPr>
  </w:style>
  <w:style w:type="paragraph" w:styleId="Textodeglobo">
    <w:name w:val="Balloon Text"/>
    <w:basedOn w:val="Normal"/>
    <w:link w:val="TextodegloboCar"/>
    <w:uiPriority w:val="99"/>
    <w:semiHidden/>
    <w:unhideWhenUsed/>
    <w:rsid w:val="003C44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477"/>
    <w:rPr>
      <w:rFonts w:ascii="Tahoma" w:eastAsiaTheme="minorEastAsia" w:hAnsi="Tahoma" w:cs="Tahoma"/>
      <w:sz w:val="16"/>
      <w:szCs w:val="16"/>
      <w:lang w:eastAsia="es-AR"/>
    </w:rPr>
  </w:style>
  <w:style w:type="table" w:styleId="Tablaconcuadrcula">
    <w:name w:val="Table Grid"/>
    <w:basedOn w:val="Tablanormal"/>
    <w:uiPriority w:val="59"/>
    <w:rsid w:val="000E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0E61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basedOn w:val="Fuentedeprrafopredeter"/>
    <w:uiPriority w:val="99"/>
    <w:unhideWhenUsed/>
    <w:rsid w:val="00C42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704D-55CA-4B42-940B-721BB7C3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958</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Compu Byte</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c:creator>
  <cp:lastModifiedBy>S.A.E.</cp:lastModifiedBy>
  <cp:revision>3</cp:revision>
  <cp:lastPrinted>2022-08-12T12:02:00Z</cp:lastPrinted>
  <dcterms:created xsi:type="dcterms:W3CDTF">2024-07-11T21:20:00Z</dcterms:created>
  <dcterms:modified xsi:type="dcterms:W3CDTF">2024-07-11T21:57:00Z</dcterms:modified>
</cp:coreProperties>
</file>